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  <Override PartName="/word/footer1.xml" ContentType="application/vnd.openxmlformats-officedocument.wordprocessingml.footer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para4"/>
        <w:spacing w:line="360" w:lineRule="auto"/>
        <w:jc w:val="center"/>
        <w:rPr>
          <w:rStyle w:val="char1"/>
        </w:rPr>
      </w:pPr>
      <w:r>
        <w:rPr>
          <w:rStyle w:val="char1"/>
          <w:rFonts w:ascii="Arial" w:hAnsi="Arial" w:eastAsia="Arial" w:cs="Arial"/>
          <w:sz w:val="28"/>
        </w:rPr>
        <w:t>Общество с ограниченной ответственностью «КЛАУДКАССИР»</w:t>
      </w:r>
      <w:r>
        <w:rPr>
          <w:rStyle w:val="char1"/>
        </w:rPr>
      </w:r>
    </w:p>
    <w:p>
      <w:pPr>
        <w:pStyle w:val="para4"/>
        <w:spacing w:line="360" w:lineRule="auto"/>
        <w:jc w:val="center"/>
        <w:rPr>
          <w:rStyle w:val="char1"/>
        </w:rPr>
      </w:pPr>
      <w:r>
        <w:rPr>
          <w:rStyle w:val="char1"/>
        </w:rPr>
      </w:r>
    </w:p>
    <w:p>
      <w:pPr>
        <w:pStyle w:val="para4"/>
        <w:spacing w:line="360" w:lineRule="auto"/>
        <w:rPr>
          <w:rStyle w:val="char1"/>
        </w:rPr>
      </w:pPr>
      <w:r>
        <w:rPr>
          <w:rStyle w:val="char1"/>
        </w:rPr>
      </w:r>
    </w:p>
    <w:p>
      <w:pPr>
        <w:pStyle w:val="para4"/>
        <w:spacing w:line="360" w:lineRule="auto"/>
        <w:jc w:val="center"/>
        <w:rPr>
          <w:rStyle w:val="char1"/>
        </w:rPr>
      </w:pPr>
      <w:r>
        <w:rPr>
          <w:rStyle w:val="char1"/>
        </w:rPr>
      </w:r>
    </w:p>
    <w:p>
      <w:pPr>
        <w:pStyle w:val="para4"/>
        <w:rPr>
          <w:rStyle w:val="char1"/>
        </w:rPr>
      </w:pPr>
      <w:r>
        <w:rPr>
          <w:rStyle w:val="char1"/>
          <w:rFonts w:ascii="Arial" w:hAnsi="Arial" w:eastAsia="Arial" w:cs="Arial"/>
          <w:sz w:val="28"/>
        </w:rPr>
        <w:tab/>
        <w:tab/>
        <w:tab/>
        <w:tab/>
        <w:tab/>
        <w:tab/>
        <w:tab/>
        <w:tab/>
        <w:tab/>
        <w:t>УТВЕРЖДАЮ</w:t>
      </w:r>
      <w:r>
        <w:rPr>
          <w:rStyle w:val="char1"/>
        </w:rPr>
      </w:r>
    </w:p>
    <w:p>
      <w:pPr>
        <w:pStyle w:val="para4"/>
        <w:rPr>
          <w:rStyle w:val="char1"/>
        </w:rPr>
      </w:pPr>
      <w:r>
        <w:rPr>
          <w:rStyle w:val="char1"/>
          <w:rFonts w:ascii="Arial" w:hAnsi="Arial" w:eastAsia="Arial" w:cs="Arial"/>
          <w:sz w:val="28"/>
        </w:rPr>
        <w:tab/>
        <w:tab/>
        <w:tab/>
        <w:tab/>
        <w:tab/>
        <w:tab/>
        <w:tab/>
        <w:tab/>
        <w:tab/>
        <w:t>Генеральный  директор</w:t>
      </w:r>
      <w:r>
        <w:rPr>
          <w:rStyle w:val="char1"/>
        </w:rPr>
      </w:r>
    </w:p>
    <w:p>
      <w:pPr>
        <w:pStyle w:val="para4"/>
        <w:rPr>
          <w:rStyle w:val="char1"/>
        </w:rPr>
      </w:pPr>
      <w:r>
        <w:rPr>
          <w:rStyle w:val="char1"/>
          <w:rFonts w:ascii="Arial" w:hAnsi="Arial" w:eastAsia="Arial" w:cs="Arial"/>
          <w:sz w:val="28"/>
        </w:rPr>
        <w:tab/>
        <w:tab/>
        <w:tab/>
        <w:tab/>
        <w:tab/>
        <w:tab/>
        <w:tab/>
        <w:tab/>
        <w:tab/>
        <w:t xml:space="preserve">ООО </w:t>
      </w:r>
      <w:r>
        <w:rPr>
          <w:rStyle w:val="char1"/>
          <w:rFonts w:ascii="Arial" w:hAnsi="Arial" w:eastAsia="Arial" w:cs="Arial"/>
          <w:sz w:val="28"/>
        </w:rPr>
        <w:t>«КЛАУДКАССИР»</w:t>
      </w:r>
      <w:r>
        <w:rPr>
          <w:rStyle w:val="char1"/>
        </w:rPr>
      </w:r>
    </w:p>
    <w:p>
      <w:pPr>
        <w:pStyle w:val="para4"/>
        <w:rPr>
          <w:rStyle w:val="char1"/>
        </w:rPr>
      </w:pPr>
      <w:r>
        <w:rPr>
          <w:rStyle w:val="char1"/>
          <w:rFonts w:ascii="Arial" w:hAnsi="Arial" w:eastAsia="Arial" w:cs="Arial"/>
          <w:sz w:val="28"/>
        </w:rPr>
        <w:tab/>
        <w:tab/>
        <w:tab/>
        <w:tab/>
        <w:tab/>
        <w:tab/>
        <w:tab/>
        <w:tab/>
        <w:t xml:space="preserve">                      Курлаева Е. А.</w:t>
      </w:r>
      <w:r>
        <w:rPr>
          <w:rStyle w:val="char1"/>
        </w:rPr>
      </w:r>
    </w:p>
    <w:p>
      <w:pPr>
        <w:pStyle w:val="para4"/>
        <w:spacing w:line="360" w:lineRule="auto"/>
        <w:jc w:val="center"/>
        <w:rPr>
          <w:rStyle w:val="char1"/>
        </w:rPr>
      </w:pPr>
      <w:r>
        <w:rPr>
          <w:rStyle w:val="char1"/>
        </w:rPr>
      </w:r>
    </w:p>
    <w:p>
      <w:pPr>
        <w:pStyle w:val="para4"/>
        <w:spacing w:line="360" w:lineRule="auto"/>
        <w:jc w:val="center"/>
        <w:rPr>
          <w:rStyle w:val="char1"/>
        </w:rPr>
      </w:pPr>
      <w:r>
        <w:rPr>
          <w:rStyle w:val="char1"/>
        </w:rPr>
      </w:r>
    </w:p>
    <w:p>
      <w:r/>
    </w:p>
    <w:p>
      <w:r/>
    </w:p>
    <w:p>
      <w:r/>
    </w:p>
    <w:p>
      <w:r/>
    </w:p>
    <w:p>
      <w:r/>
    </w:p>
    <w:p>
      <w:r/>
    </w:p>
    <w:p>
      <w:r/>
    </w:p>
    <w:p>
      <w:pPr>
        <w:spacing/>
        <w:jc w:val="center"/>
        <w:tabs>
          <w:tab w:val="left" w:pos="1757" w:leader="none"/>
        </w:tabs>
        <w:rPr>
          <w:rFonts w:ascii="Arial" w:hAnsi="Arial" w:eastAsia="Arial" w:cs="Arial"/>
          <w:sz w:val="40"/>
          <w:szCs w:val="40"/>
        </w:rPr>
      </w:pPr>
      <w:r>
        <w:rPr>
          <w:rFonts w:ascii="Arial" w:hAnsi="Arial" w:eastAsia="Arial" w:cs="Arial"/>
          <w:sz w:val="40"/>
          <w:szCs w:val="40"/>
        </w:rPr>
        <w:t>Рабочее место СК-1</w:t>
      </w:r>
      <w:r>
        <w:rPr>
          <w:rFonts w:ascii="Arial" w:hAnsi="Arial" w:eastAsia="Arial" w:cs="Arial"/>
          <w:sz w:val="40"/>
          <w:szCs w:val="40"/>
        </w:rPr>
      </w:r>
    </w:p>
    <w:p>
      <w:pPr>
        <w:spacing/>
        <w:jc w:val="center"/>
        <w:tabs>
          <w:tab w:val="left" w:pos="1757" w:leader="none"/>
        </w:tabs>
        <w:rPr>
          <w:rFonts w:ascii="Arial" w:hAnsi="Arial" w:eastAsia="Arial" w:cs="Arial"/>
          <w:sz w:val="40"/>
          <w:szCs w:val="40"/>
        </w:rPr>
      </w:pPr>
      <w:r>
        <w:rPr>
          <w:rFonts w:ascii="Arial" w:hAnsi="Arial" w:eastAsia="Arial" w:cs="Arial"/>
          <w:sz w:val="40"/>
          <w:szCs w:val="40"/>
        </w:rPr>
        <w:t>Руководство по эксплуатации</w:t>
      </w:r>
      <w:r>
        <w:rPr>
          <w:rFonts w:ascii="Arial" w:hAnsi="Arial" w:eastAsia="Arial" w:cs="Arial"/>
          <w:sz w:val="40"/>
          <w:szCs w:val="40"/>
        </w:rPr>
      </w:r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</w:pPr>
      <w:r/>
    </w:p>
    <w:p>
      <w:pPr>
        <w:spacing/>
        <w:jc w:val="center"/>
        <w:rPr>
          <w:rFonts w:ascii="Arial" w:hAnsi="Arial" w:eastAsia="Arial" w:cs="Arial"/>
        </w:rPr>
      </w:pPr>
      <w:r>
        <w:rPr>
          <w:rFonts w:ascii="Arial" w:hAnsi="Arial" w:eastAsia="Arial" w:cs="Arial"/>
        </w:rPr>
        <w:t>2025</w:t>
      </w:r>
      <w:r>
        <w:rPr>
          <w:rFonts w:ascii="Arial" w:hAnsi="Arial" w:eastAsia="Arial" w:cs="Arial"/>
        </w:rPr>
      </w:r>
    </w:p>
    <w:p>
      <w:pPr>
        <w:spacing/>
        <w:jc w:val="center"/>
      </w:pPr>
      <w:r/>
    </w:p>
    <w:p>
      <w:pPr>
        <w:pStyle w:val="para10"/>
        <w:tabs>
          <w:tab w:val="right" w:pos="9639" w:leader="dot"/>
        </w:tabs>
      </w:pPr>
      <w:r>
        <w:fldChar w:fldCharType="begin"/>
      </w:r>
      <w:r>
        <w:instrText xml:space="preserve"> TOC \o </w:instrText>
      </w:r>
      <w:r>
        <w:fldChar w:fldCharType="separate"/>
      </w:r>
      <w:r>
        <w:t>Общие положение</w:t>
        <w:tab/>
        <w:t>3</w:t>
      </w:r>
    </w:p>
    <w:p>
      <w:pPr>
        <w:pStyle w:val="para10"/>
        <w:tabs>
          <w:tab w:val="right" w:pos="9639" w:leader="dot"/>
        </w:tabs>
      </w:pPr>
      <w:r>
        <w:t>Системные требования</w:t>
        <w:tab/>
        <w:t>3</w:t>
      </w:r>
    </w:p>
    <w:p>
      <w:pPr>
        <w:pStyle w:val="para10"/>
        <w:tabs>
          <w:tab w:val="right" w:pos="9639" w:leader="dot"/>
        </w:tabs>
      </w:pPr>
      <w:r>
        <w:t>Установка приложения</w:t>
        <w:tab/>
        <w:t>4</w:t>
      </w:r>
    </w:p>
    <w:p>
      <w:pPr>
        <w:pStyle w:val="para10"/>
        <w:tabs>
          <w:tab w:val="right" w:pos="9639" w:leader="dot"/>
        </w:tabs>
      </w:pPr>
      <w:r>
        <w:t>Начало работы</w:t>
        <w:tab/>
        <w:t>6</w:t>
      </w:r>
    </w:p>
    <w:p>
      <w:pPr>
        <w:pStyle w:val="para10"/>
        <w:tabs>
          <w:tab w:val="right" w:pos="9639" w:leader="dot"/>
        </w:tabs>
      </w:pPr>
      <w:r>
        <w:t>Основное окно приложения</w:t>
        <w:tab/>
        <w:t>8</w:t>
      </w:r>
    </w:p>
    <w:p>
      <w:pPr>
        <w:pStyle w:val="para10"/>
        <w:tabs>
          <w:tab w:val="right" w:pos="9639" w:leader="dot"/>
        </w:tabs>
      </w:pPr>
      <w:r>
        <w:t>Открытие смены</w:t>
        <w:tab/>
        <w:t>9</w:t>
      </w:r>
    </w:p>
    <w:p>
      <w:pPr>
        <w:pStyle w:val="para10"/>
        <w:tabs>
          <w:tab w:val="right" w:pos="9639" w:leader="dot"/>
        </w:tabs>
      </w:pPr>
      <w:r>
        <w:t>Оформление чека</w:t>
        <w:tab/>
        <w:t>11</w:t>
      </w:r>
    </w:p>
    <w:p>
      <w:pPr>
        <w:pStyle w:val="para11"/>
        <w:tabs>
          <w:tab w:val="right" w:pos="9639" w:leader="dot"/>
        </w:tabs>
      </w:pPr>
      <w:r>
        <w:t>Открытие чека</w:t>
        <w:tab/>
        <w:t>11</w:t>
      </w:r>
    </w:p>
    <w:p>
      <w:pPr>
        <w:pStyle w:val="para11"/>
        <w:tabs>
          <w:tab w:val="right" w:pos="9639" w:leader="dot"/>
        </w:tabs>
      </w:pPr>
      <w:r>
        <w:t>Добавление товарной позиции в чек</w:t>
        <w:tab/>
        <w:t>12</w:t>
      </w:r>
    </w:p>
    <w:p>
      <w:pPr>
        <w:pStyle w:val="para11"/>
        <w:tabs>
          <w:tab w:val="right" w:pos="9639" w:leader="dot"/>
        </w:tabs>
      </w:pPr>
      <w:r>
        <w:t>Продажа маркированного товара</w:t>
        <w:tab/>
        <w:t>16</w:t>
      </w:r>
    </w:p>
    <w:p>
      <w:pPr>
        <w:pStyle w:val="para11"/>
        <w:tabs>
          <w:tab w:val="right" w:pos="9639" w:leader="dot"/>
        </w:tabs>
      </w:pPr>
      <w:r>
        <w:t>Закрытие чека. Оплата</w:t>
        <w:tab/>
        <w:t>20</w:t>
      </w:r>
    </w:p>
    <w:p>
      <w:pPr>
        <w:pStyle w:val="para11"/>
        <w:tabs>
          <w:tab w:val="right" w:pos="9639" w:leader="dot"/>
        </w:tabs>
      </w:pPr>
      <w:r>
        <w:t>Общий вид кассового чека</w:t>
        <w:tab/>
        <w:t>21</w:t>
      </w:r>
    </w:p>
    <w:p>
      <w:pPr>
        <w:pStyle w:val="para10"/>
        <w:tabs>
          <w:tab w:val="right" w:pos="9639" w:leader="dot"/>
        </w:tabs>
      </w:pPr>
      <w:r>
        <w:t>Закрытие смены</w:t>
        <w:tab/>
        <w:t>22</w:t>
      </w:r>
    </w:p>
    <w:p>
      <w:pPr>
        <w:pStyle w:val="para10"/>
        <w:tabs>
          <w:tab w:val="right" w:pos="9639" w:leader="dot"/>
        </w:tabs>
      </w:pPr>
      <w:r>
        <w:t>Чек коррекции</w:t>
        <w:tab/>
        <w:t>24</w:t>
      </w:r>
    </w:p>
    <w:p>
      <w:pPr>
        <w:pStyle w:val="para10"/>
        <w:tabs>
          <w:tab w:val="right" w:pos="9639" w:leader="dot"/>
        </w:tabs>
      </w:pPr>
      <w:r>
        <w:t>Получение документов из фискального накопителя</w:t>
        <w:tab/>
        <w:t>25</w:t>
      </w:r>
    </w:p>
    <w:p>
      <w:pPr>
        <w:pStyle w:val="para10"/>
        <w:tabs>
          <w:tab w:val="right" w:pos="9639" w:leader="dot"/>
        </w:tabs>
      </w:pPr>
      <w:r>
        <w:t>Получение статистики по ККТ</w:t>
        <w:tab/>
        <w:t>30</w:t>
      </w:r>
    </w:p>
    <w:p>
      <w:pPr>
        <w:pStyle w:val="para10"/>
        <w:tabs>
          <w:tab w:val="right" w:pos="9639" w:leader="dot"/>
        </w:tabs>
      </w:pPr>
      <w:r>
        <w:t>Настройка ККТ</w:t>
        <w:tab/>
        <w:t>32</w:t>
      </w:r>
    </w:p>
    <w:p>
      <w:pPr>
        <w:pStyle w:val="para11"/>
        <w:tabs>
          <w:tab w:val="right" w:pos="9639" w:leader="dot"/>
        </w:tabs>
      </w:pPr>
      <w:r>
        <w:t>Настройка кассиров</w:t>
        <w:tab/>
        <w:t>32</w:t>
      </w:r>
    </w:p>
    <w:p>
      <w:pPr>
        <w:pStyle w:val="para11"/>
        <w:tabs>
          <w:tab w:val="right" w:pos="9639" w:leader="dot"/>
        </w:tabs>
      </w:pPr>
      <w:r>
        <w:t>Настройка связи с ОФД</w:t>
        <w:tab/>
        <w:t>34</w:t>
      </w:r>
    </w:p>
    <w:p>
      <w:pPr>
        <w:pStyle w:val="para11"/>
        <w:tabs>
          <w:tab w:val="right" w:pos="9639" w:leader="dot"/>
        </w:tabs>
      </w:pPr>
      <w:r>
        <w:t>Настройка даты и времени</w:t>
        <w:tab/>
        <w:t>35</w:t>
      </w:r>
    </w:p>
    <w:p>
      <w:pPr>
        <w:pStyle w:val="para10"/>
        <w:tabs>
          <w:tab w:val="right" w:pos="9639" w:leader="dot"/>
        </w:tabs>
      </w:pPr>
      <w:r>
        <w:t>Регистрация ККТ</w:t>
        <w:tab/>
        <w:t>36</w:t>
      </w:r>
    </w:p>
    <w:p>
      <w:pPr>
        <w:pStyle w:val="para10"/>
        <w:tabs>
          <w:tab w:val="right" w:pos="9639" w:leader="dot"/>
        </w:tabs>
      </w:pPr>
      <w:r>
        <w:t>Перерегистрация ККТ в связи с заменой ФН</w:t>
        <w:tab/>
        <w:t>43</w:t>
      </w:r>
    </w:p>
    <w:p>
      <w:pPr>
        <w:pStyle w:val="para10"/>
        <w:tabs>
          <w:tab w:val="right" w:pos="9639" w:leader="dot"/>
        </w:tabs>
      </w:pPr>
      <w:r>
        <w:t>Закрытие ФН</w:t>
        <w:tab/>
        <w:t>44</w:t>
      </w:r>
    </w:p>
    <w:p>
      <w:pPr>
        <w:pStyle w:val="para10"/>
        <w:tabs>
          <w:tab w:val="right" w:pos="9639" w:leader="dot"/>
        </w:tabs>
      </w:pPr>
      <w:r>
        <w:t>Очистка ФН-М</w:t>
        <w:tab/>
        <w:t>46</w:t>
      </w:r>
    </w:p>
    <w:p>
      <w:pPr>
        <w:pStyle w:val="para10"/>
        <w:tabs>
          <w:tab w:val="right" w:pos="9639" w:leader="dot"/>
        </w:tabs>
      </w:pPr>
      <w:r>
        <w:t>Отправка логов</w:t>
        <w:tab/>
        <w:t>47</w:t>
      </w:r>
    </w:p>
    <w:p>
      <w:pPr>
        <w:pStyle w:val="para10"/>
        <w:tabs>
          <w:tab w:val="right" w:pos="9639" w:leader="dot"/>
        </w:tabs>
      </w:pPr>
      <w:r>
        <w:t>Выгрузка уведомлений при реализации маркированного товара в автономном режиме</w:t>
        <w:tab/>
        <w:t>48</w:t>
      </w:r>
    </w:p>
    <w:p>
      <w:pPr>
        <w:pStyle w:val="para10"/>
        <w:tabs>
          <w:tab w:val="right" w:pos="9639" w:leader="dot"/>
        </w:tabs>
      </w:pPr>
      <w:r>
        <w:t>Тестирование ККТ</w:t>
        <w:tab/>
        <w:t>49</w:t>
      </w:r>
      <w:r>
        <w:br w:type="page"/>
      </w:r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Общие положение</w:t>
      </w:r>
      <w:r>
        <w:rPr>
          <w:rFonts w:ascii="Times New Roman" w:hAnsi="Times New Roman" w:cs="Times New Roman"/>
        </w:rPr>
      </w:r>
    </w:p>
    <w:p>
      <w:r>
        <w:t xml:space="preserve">Приложение «Рабочее место СК-1» предназначено для  работы с подключеннной к компьютеру ККТ СК-1.  Приложение позволяет производить регистрацию/перерегистрацию ККТ, настройку ККТ, оформлять кассовые чеки и чеки коррекции, получать отчёты из фискального накопителя, закрывать ФН, а также производить некоторые другие операции, описанные в данном Руководстве.  Для печати чеков подключите к компьютеру по порту USB термопринтер MPrint R58 или аналогичный принтер из списка поддерживаемых (уточните у производителя). </w:t>
      </w:r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Системные требования</w:t>
      </w:r>
      <w:r>
        <w:rPr>
          <w:rFonts w:ascii="Times New Roman" w:hAnsi="Times New Roman" w:cs="Times New Roman"/>
        </w:rPr>
      </w:r>
    </w:p>
    <w:p>
      <w:r>
        <w:t>Минимальные системные требования приведены ниже.</w:t>
      </w:r>
    </w:p>
    <w:p>
      <w:r>
        <w:t xml:space="preserve">Процессор </w:t>
        <w:tab/>
        <w:tab/>
        <w:t>amd64 1 ГГерц;</w:t>
      </w:r>
    </w:p>
    <w:p>
      <w:r>
        <w:t xml:space="preserve">Память </w:t>
        <w:tab/>
        <w:tab/>
        <w:t>64 Гбайт;</w:t>
      </w:r>
    </w:p>
    <w:p>
      <w:r>
        <w:t xml:space="preserve">ОЗУ </w:t>
        <w:tab/>
        <w:tab/>
        <w:tab/>
        <w:t>4 Гб;</w:t>
      </w:r>
    </w:p>
    <w:p>
      <w:r>
        <w:t>ОС</w:t>
        <w:tab/>
        <w:tab/>
        <w:tab/>
        <w:t>Windows 10 или  Debian 12.</w:t>
      </w:r>
    </w:p>
    <w:p>
      <w:r/>
      <w:r>
        <w:br w:type="page"/>
      </w:r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Установка приложения</w:t>
      </w:r>
      <w:r>
        <w:rPr>
          <w:rFonts w:ascii="Times New Roman" w:hAnsi="Times New Roman" w:cs="Times New Roman"/>
        </w:rPr>
      </w:r>
    </w:p>
    <w:p>
      <w:r>
        <w:t>Установка приложения по ОС Linux</w:t>
      </w:r>
    </w:p>
    <w:p>
      <w:r>
        <w:t>1. Получите от производителя пакет cashboxfacewui.deb. Скопируйте его на компьютер, на котором предполагается установка приложения</w:t>
      </w:r>
    </w:p>
    <w:p>
      <w:r>
        <w:rPr>
          <w:noProof/>
        </w:rPr>
        <w:drawing>
          <wp:inline distT="0" distB="0" distL="0" distR="0">
            <wp:extent cx="5670550" cy="4484370"/>
            <wp:effectExtent l="0" t="0" r="0" b="0"/>
            <wp:docPr id="1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JYbAAAAAAAAAAAAAAAAAAA=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448437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 xml:space="preserve">Рисунок </w:t>
      </w:r>
      <w:r>
        <w:fldChar w:fldCharType="begin"/>
        <w:instrText xml:space="preserve"> SEQ "Рисунок" \* Arabic </w:instrText>
        <w:fldChar w:fldCharType="separate"/>
        <w:t>1</w:t>
        <w:fldChar w:fldCharType="end"/>
      </w:r>
      <w:r>
        <w:t xml:space="preserve"> Установочний пакет в папке на компьютере</w:t>
      </w:r>
    </w:p>
    <w:p>
      <w:r/>
    </w:p>
    <w:p>
      <w:r>
        <w:t>2. Двойным щелчком по файлу пакета запустите установку</w:t>
      </w:r>
    </w:p>
    <w:p>
      <w:r>
        <w:rPr>
          <w:noProof/>
        </w:rPr>
        <w:drawing>
          <wp:inline distT="0" distB="0" distL="0" distR="0">
            <wp:extent cx="5670550" cy="3505200"/>
            <wp:effectExtent l="0" t="0" r="0" b="0"/>
            <wp:docPr id="2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JAVAAAAAAAAAAAAAAAAAAA="/>
                        </a:ext>
                      </a:extLst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505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 Начало установки</w:t>
      </w:r>
    </w:p>
    <w:p>
      <w:r/>
    </w:p>
    <w:p>
      <w:r>
        <w:t>3. Нажмите кнопку «Установить», дождитесь завершения установки</w:t>
      </w:r>
    </w:p>
    <w:p>
      <w:r>
        <w:rPr>
          <w:noProof/>
        </w:rPr>
        <w:drawing>
          <wp:inline distT="0" distB="0" distL="0" distR="0">
            <wp:extent cx="5670550" cy="3505200"/>
            <wp:effectExtent l="0" t="0" r="0" b="0"/>
            <wp:docPr id="3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JAVAAAAAAAAAAAAAAAAAAA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505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 Установка приложения</w:t>
      </w:r>
    </w:p>
    <w:p>
      <w:r/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Начало работы</w:t>
      </w:r>
      <w:r>
        <w:rPr>
          <w:rFonts w:ascii="Times New Roman" w:hAnsi="Times New Roman" w:cs="Times New Roman"/>
        </w:rPr>
      </w:r>
    </w:p>
    <w:p>
      <w:r/>
    </w:p>
    <w:p>
      <w:r>
        <w:t>После запуска приложения открывается окно авторизации пользователя.</w:t>
      </w:r>
    </w:p>
    <w:p>
      <w:r>
        <w:rPr>
          <w:noProof/>
        </w:rPr>
        <w:drawing>
          <wp:inline distT="0" distB="0" distL="0" distR="0">
            <wp:extent cx="3810000" cy="2857500"/>
            <wp:effectExtent l="0" t="0" r="0" b="0"/>
            <wp:docPr id="4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QAAAAAAAAAAAAAAAQAAAAAAAAAAAAAAcBcAAJQRAAAAAAAAAAAAAAAAAAA="/>
                        </a:ext>
                      </a:extLst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4 Окно авторизации</w:t>
      </w:r>
    </w:p>
    <w:p>
      <w:r/>
    </w:p>
    <w:p>
      <w:r>
        <w:t xml:space="preserve">Для авторизации выберите пользователя, введите его пароль и нажмите кнопку логина </w:t>
      </w:r>
      <w:r>
        <w:rPr>
          <w:noProof/>
        </w:rPr>
        <w:object>
          <v:shapetype id="_x0000_t75" coordsize="21600,21600" o:spt="75" o:preferrelative="t" path="m,l,21600r21600,l21600,xe">
            <v:path gradientshapeok="t" o:connecttype="rect"/>
          </v:shapetype>
          <v:shape id="ОбъектOLE1" o:spid="_x0000_s1026" type="#_x0000_t75" style="width:27.70pt;height:29.25pt;z-index:251658245;mso-wrap-distance-left:0.00pt;mso-wrap-distance-top:0.00pt;mso-wrap-distance-right:0.00pt;mso-wrap-distance-bottom:0.00pt;mso-wrap-style:square" stroked="f" filled="f" v:ext="SMDATA_16_/Pt1aBMAAAAlAAAAMgAAAA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AAACQAAAAQAAAAAAAAADAAAABAAAAAAAAAAAAAAAAAAAAAAAAAAHgAAAGgAAAAAAAAAAAAAAAAAAAAAAAAAAAAAABAnAAAQJwAAAAAAAAAAAAAAAAAAAAAAAAAAAAAAAAAAAAAAAAAAAAAUAAAAAAAAAMDA/wAAAAAAZAAAADIAAAAAAAAAZAAAAAAAAAB/f38AAA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KgIAAEkCAAAAAAAAAAAAAAAAAAA=">
            <v:imagedata r:id="rId12" o:title="media/image5"/>
          </v:shape>
          <o:OLEObject Type="Embed" ProgID="PBrush" ShapeID="ОбъектOLE1" DrawAspect="Content" ObjectID="_1" r:id="rId13"/>
        </w:object>
      </w:r>
      <w:r>
        <w:t>.  По умолчанию в системе заведён пользователь СИС.АДМИН с паролем 99.</w:t>
      </w:r>
    </w:p>
    <w:p>
      <w:r>
        <w:t xml:space="preserve">Из окна авторизации также можно вызвать настройки связи с кассой по кнопке Настройки </w:t>
      </w:r>
      <w:r>
        <w:rPr>
          <w:noProof/>
        </w:rPr>
        <w:object>
          <v:shape id="ОбъектOLE2" o:spid="_x0000_s1027" type="#_x0000_t75" style="width:27.70pt;height:30.00pt;z-index:251658246;mso-wrap-distance-left:0.00pt;mso-wrap-distance-top:0.00pt;mso-wrap-distance-right:0.00pt;mso-wrap-distance-bottom:0.00pt;mso-wrap-style:square" stroked="f" filled="f" v:ext="SMDATA_16_/Pt1aBMAAAAlAAAAMgAAAA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AAACQAAAAQAAAAAAAAADAAAABAAAAAAAAAAAAAAAAAAAAAAAAAAHgAAAGgAAAAAAAAAAAAAAAAAAAAAAAAAAAAAABAnAAAQJwAAAAAAAAAAAAAAAAAAAAAAAAAAAAAAAAAAAAAAAAAAAAAUAAAAAAAAAMDA/wAAAAAAZAAAADIAAAAAAAAAZAAAAAAAAAB/f38AAA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KgIAAFgCAAAAAAAAAAAAAAAAAAA=">
            <v:imagedata r:id="rId14" o:title="media/image6"/>
          </v:shape>
          <o:OLEObject Type="Embed" ProgID="PBrush" ShapeID="ОбъектOLE2" DrawAspect="Content" ObjectID="_2" r:id="rId15"/>
        </w:object>
      </w:r>
      <w:r>
        <w:t>.</w:t>
      </w:r>
    </w:p>
    <w:p>
      <w:r>
        <w:rPr>
          <w:noProof/>
        </w:rPr>
        <w:drawing>
          <wp:inline distT="0" distB="0" distL="0" distR="0">
            <wp:extent cx="2295525" cy="1047750"/>
            <wp:effectExtent l="0" t="0" r="0" b="0"/>
            <wp:docPr id="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Hw4AAHIGAAAAAAAAAAAAAAAAAAA="/>
                        </a:ext>
                      </a:extLst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4775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5 Настройки связи с кассой</w:t>
      </w:r>
    </w:p>
    <w:p>
      <w:r>
        <w:t>В настройка указывается IP-адрес и порт для работы с кассой. Порт по умолчанию - 8088.</w:t>
      </w:r>
    </w:p>
    <w:p>
      <w:r>
        <w:t xml:space="preserve">Кнопка </w:t>
      </w:r>
      <w:r>
        <w:rPr>
          <w:noProof/>
        </w:rPr>
        <w:object>
          <v:shape id="ОбъектOLE3" o:spid="_x0000_s1028" type="#_x0000_t75" style="width:25.50pt;height:29.25pt;z-index:251658248;mso-wrap-distance-left:0.00pt;mso-wrap-distance-top:0.00pt;mso-wrap-distance-right:0.00pt;mso-wrap-distance-bottom:0.00pt;mso-wrap-style:square" stroked="f" filled="f" v:ext="SMDATA_16_/Pt1aBMAAAAlAAAAMgAAAA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AAACQAAAAQAAAAAAAAADAAAABAAAAAAAAAAAAAAAAAAAAAAAAAAHgAAAGgAAAAAAAAAAAAAAAAAAAAAAAAAAAAAABAnAAAQJwAAAAAAAAAAAAAAAAAAAAAAAAAAAAAAAAAAAAAAAAAAAAAUAAAAAAAAAMDA/wAAAAAAZAAAADIAAAAAAAAAZAAAAAAAAAB/f38AAA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/gEAAEkCAAAAAAAAAAAAAAAAAAA=">
            <v:imagedata r:id="rId17" o:title="media/image8"/>
          </v:shape>
          <o:OLEObject Type="Embed" ProgID="PBrush" ShapeID="ОбъектOLE3" DrawAspect="Content" ObjectID="_3" r:id="rId18"/>
        </w:object>
      </w:r>
      <w:r>
        <w:t xml:space="preserve"> предназначена для обновления настроек приложения</w:t>
      </w:r>
    </w:p>
    <w:p>
      <w:r>
        <w:t xml:space="preserve">Кнопка </w:t>
      </w:r>
      <w:r>
        <w:rPr>
          <w:noProof/>
        </w:rPr>
        <w:object>
          <v:shape id="ОбъектOLE4" o:spid="_x0000_s1029" type="#_x0000_t75" style="width:27.70pt;height:28.50pt;z-index:251658249;mso-wrap-distance-left:0.00pt;mso-wrap-distance-top:0.00pt;mso-wrap-distance-right:0.00pt;mso-wrap-distance-bottom:0.00pt;mso-wrap-style:square" stroked="f" filled="f" v:ext="SMDATA_16_/Pt1aBMAAAAlAAAAMgAAAA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jAAAABAAAAGQAAAAXAAAAFAAAAAAAAAAAAAAA/38AAP9/AAAAAAAACQAAAAQAAAAAAAAADAAAABAAAAAAAAAAAAAAAAAAAAAAAAAAHgAAAGgAAAAAAAAAAAAAAAAAAAAAAAAAAAAAABAnAAAQJwAAAAAAAAAAAAAAAAAAAAAAAAAAAAAAAAAAAAAAAAAAAAAUAAAAAAAAAMDA/wAAAAAAZAAAADIAAAAAAAAAZAAAAAAAAAB/f38AAA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KgIAADoCAAAAAAAAAAAAAAAAAAA=">
            <v:imagedata r:id="rId19" o:title="media/image9"/>
          </v:shape>
          <o:OLEObject Type="Embed" ProgID="PBrush" ShapeID="ОбъектOLE4" DrawAspect="Content" ObjectID="_4" r:id="rId20"/>
        </w:object>
      </w:r>
      <w:r>
        <w:t xml:space="preserve"> предназначена для поиска кассы.</w:t>
      </w:r>
    </w:p>
    <w:p>
      <w:r/>
    </w:p>
    <w:p>
      <w:r>
        <w:t>После успешной авторизации пользователя открывается окно подключения к ККТ для работы</w:t>
      </w:r>
    </w:p>
    <w:p>
      <w:r/>
    </w:p>
    <w:p>
      <w:r>
        <w:rPr>
          <w:noProof/>
        </w:rPr>
        <w:drawing>
          <wp:inline distT="0" distB="0" distL="0" distR="0">
            <wp:extent cx="3810000" cy="4819650"/>
            <wp:effectExtent l="0" t="0" r="0" b="0"/>
            <wp:docPr id="10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BcAAKYdAAAAAAAAAAAAAAAAAAA="/>
                        </a:ext>
                      </a:extLst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81965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6 Окно подсключения к ККТ</w:t>
      </w:r>
      <w:r>
        <w:br w:type="page"/>
      </w:r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Основное окно приложения</w:t>
      </w:r>
      <w:r>
        <w:rPr>
          <w:rFonts w:ascii="Times New Roman" w:hAnsi="Times New Roman" w:cs="Times New Roman"/>
        </w:rPr>
      </w:r>
    </w:p>
    <w:p>
      <w:r>
        <w:t>После успешного подключения к ККТ открывается главное окно приложения.</w:t>
      </w:r>
    </w:p>
    <w:p>
      <w:r>
        <w:t>Окно содержит меню для команд ККТ, кнопки быстрого вызова, слева расположена панель, отображающая содержимое последнего распечатанного документа, справа - панель, показывающая актуальное состояние ККТ.</w:t>
      </w:r>
    </w:p>
    <w:p>
      <w:r>
        <w:rPr>
          <w:noProof/>
        </w:rPr>
        <w:drawing>
          <wp:inline distT="0" distB="0" distL="0" distR="0">
            <wp:extent cx="6120765" cy="3242310"/>
            <wp:effectExtent l="0" t="0" r="0" b="0"/>
            <wp:docPr id="11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pyUAAPITAAAAAAAAAAAAAAAAAAA="/>
                        </a:ext>
                      </a:extLst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2423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7 Основное окно ПО</w:t>
      </w:r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Открытие смены</w:t>
      </w:r>
      <w:r>
        <w:rPr>
          <w:rFonts w:ascii="Times New Roman" w:hAnsi="Times New Roman" w:cs="Times New Roman"/>
        </w:rPr>
      </w:r>
    </w:p>
    <w:p>
      <w:r>
        <w:t xml:space="preserve">Чтобы открыть смену. выберит меню Операции - Открыть смену или нажмите кнопку </w:t>
      </w:r>
      <w:r>
        <w:rPr>
          <w:noProof/>
        </w:rPr>
        <w:drawing>
          <wp:inline distT="0" distB="0" distL="0" distR="0">
            <wp:extent cx="812800" cy="812800"/>
            <wp:effectExtent l="0" t="0" r="0" b="0"/>
            <wp:docPr id="12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AAUAAAAFAAAAAAAAAAAAAAAAAAA="/>
                        </a:ext>
                      </a:extLst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812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 В открывшемся окне введите фамилию и должность лица , выполняющего открытие, ИНН этого лица (при наличии), адрес и место расчетов подставляются из регистрационной информации ККТ. При необходимости можно указать дополнительный реквизит документа открытия смены и его значение. Чтобы выполнить открытие смены и распечатать отчёт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13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r>
        <w:rPr>
          <w:noProof/>
        </w:rPr>
        <w:drawing>
          <wp:inline distT="0" distB="0" distL="0" distR="0">
            <wp:extent cx="3200400" cy="4672330"/>
            <wp:effectExtent l="0" t="0" r="0" b="0"/>
            <wp:docPr id="14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LATAAC+HAAAsBMAAL4c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sBMAAL4cAAAAAAAAAAAAAAAAAAA="/>
                        </a:ext>
                      </a:extLst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467233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8 Открытие смены</w:t>
      </w:r>
    </w:p>
    <w:p>
      <w:r/>
    </w:p>
    <w:p>
      <w:r>
        <w:rPr>
          <w:noProof/>
        </w:rPr>
        <w:drawing>
          <wp:inline distT="0" distB="0" distL="0" distR="0">
            <wp:extent cx="2184400" cy="1972945"/>
            <wp:effectExtent l="0" t="0" r="0" b="0"/>
            <wp:docPr id="15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A0AACMMAAAAAAAAAAAAAAAAAAA="/>
                        </a:ext>
                      </a:extLst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9729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9 Распечатанный отчёт об открытии смены</w:t>
      </w:r>
      <w:r>
        <w:br w:type="page"/>
      </w:r>
    </w:p>
    <w:p>
      <w:pPr>
        <w:pStyle w:val="para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Оформление чека</w:t>
      </w:r>
      <w:r>
        <w:rPr>
          <w:rFonts w:ascii="Times New Roman" w:hAnsi="Times New Roman" w:cs="Times New Roman"/>
        </w:rPr>
      </w:r>
    </w:p>
    <w:p>
      <w:pPr>
        <w:pStyle w:val="para2"/>
      </w:pPr>
      <w:r>
        <w:t>Открытие чека</w:t>
      </w:r>
    </w:p>
    <w:p>
      <w:r>
        <w:t xml:space="preserve">Оформление кассового чека возможно только при открытой смене. Чтобы оформить кассовый чек, нажмите кнопку </w:t>
      </w:r>
      <w:r>
        <w:rPr>
          <w:noProof/>
        </w:rPr>
        <w:drawing>
          <wp:inline distT="0" distB="0" distL="0" distR="0">
            <wp:extent cx="812800" cy="812800"/>
            <wp:effectExtent l="0" t="0" r="0" b="0"/>
            <wp:docPr id="16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AAUAAAAFAAAAAAAAAAAAAAAAAAA="/>
                        </a:ext>
                      </a:extLst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812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</w:t>
      </w:r>
    </w:p>
    <w:p>
      <w:r/>
    </w:p>
    <w:p>
      <w:r>
        <w:rPr>
          <w:noProof/>
        </w:rPr>
        <w:drawing>
          <wp:inline distT="0" distB="0" distL="0" distR="0">
            <wp:extent cx="6120765" cy="3242310"/>
            <wp:effectExtent l="0" t="0" r="0" b="0"/>
            <wp:docPr id="1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pyUAAPITAAAAAAAAAAAAAAAAAAA="/>
                        </a:ext>
                      </a:extLst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2423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10 Оформление кассового чека</w:t>
      </w:r>
    </w:p>
    <w:p>
      <w:r/>
    </w:p>
    <w:p>
      <w:r>
        <w:t>При оформлении чека указывается:</w:t>
      </w:r>
    </w:p>
    <w:p>
      <w:pPr>
        <w:numPr>
          <w:ilvl w:val="0"/>
          <w:numId w:val="4"/>
        </w:numPr>
        <w:ind w:left="360" w:firstLine="349"/>
      </w:pPr>
      <w:r>
        <w:t>признак предмета расчёта (приход, расход, возврат прихода, возврат расхода);</w:t>
      </w:r>
    </w:p>
    <w:p>
      <w:pPr>
        <w:numPr>
          <w:ilvl w:val="0"/>
          <w:numId w:val="4"/>
        </w:numPr>
        <w:ind w:left="360" w:firstLine="349"/>
      </w:pPr>
      <w:r>
        <w:t>фамилия и должность лица, выполняющего оформление чека;</w:t>
      </w:r>
    </w:p>
    <w:p>
      <w:pPr>
        <w:numPr>
          <w:ilvl w:val="0"/>
          <w:numId w:val="4"/>
        </w:numPr>
        <w:ind w:left="360" w:firstLine="349"/>
      </w:pPr>
      <w:r>
        <w:t>ИНН лица, выполняющего оформление чека (при наличии);</w:t>
      </w:r>
    </w:p>
    <w:p>
      <w:pPr>
        <w:numPr>
          <w:ilvl w:val="0"/>
          <w:numId w:val="4"/>
        </w:numPr>
        <w:ind w:left="360" w:firstLine="349"/>
      </w:pPr>
      <w:r>
        <w:t>номер автомата, в составе которого находится ККТ (берётся из регистрационной информации ККТ);</w:t>
      </w:r>
    </w:p>
    <w:p>
      <w:pPr>
        <w:numPr>
          <w:ilvl w:val="0"/>
          <w:numId w:val="4"/>
        </w:numPr>
        <w:ind w:left="360" w:firstLine="349"/>
      </w:pPr>
      <w:r>
        <w:t>система налоообложения, с которой оформляется чек (выбираете из СНО, с которыми зарегистрирована ККТ);</w:t>
      </w:r>
    </w:p>
    <w:p>
      <w:pPr>
        <w:numPr>
          <w:ilvl w:val="0"/>
          <w:numId w:val="4"/>
        </w:numPr>
        <w:ind w:left="360" w:firstLine="349"/>
      </w:pPr>
      <w:r>
        <w:t>адрес и место расчетов (подставляются из регистрационной информации ККТ);</w:t>
      </w:r>
    </w:p>
    <w:p>
      <w:pPr>
        <w:numPr>
          <w:ilvl w:val="0"/>
          <w:numId w:val="4"/>
        </w:numPr>
        <w:ind w:left="360" w:firstLine="349"/>
      </w:pPr>
      <w:r>
        <w:t>наименование и значение дополнителного реквизата (при наличии);</w:t>
      </w:r>
    </w:p>
    <w:p>
      <w:pPr>
        <w:numPr>
          <w:ilvl w:val="0"/>
          <w:numId w:val="4"/>
        </w:numPr>
        <w:ind w:left="360" w:firstLine="349"/>
      </w:pPr>
      <w:r>
        <w:t>при необходимости заполняется информация об операционном реквизите чека (при выставлении соответсвующего флага);</w:t>
      </w:r>
    </w:p>
    <w:p>
      <w:pPr>
        <w:numPr>
          <w:ilvl w:val="0"/>
          <w:numId w:val="4"/>
        </w:numPr>
        <w:ind w:left="360" w:firstLine="349"/>
      </w:pPr>
      <w:r>
        <w:t>при необходимости заполняется дополнительный реквизит пользователя (при выставлении соответствующего флага)</w:t>
      </w:r>
    </w:p>
    <w:p>
      <w:pPr>
        <w:ind w:left="360"/>
      </w:pPr>
      <w:r/>
    </w:p>
    <w:p>
      <w:pPr>
        <w:ind w:left="360"/>
      </w:pPr>
      <w:r>
        <w:t>На вкладке «Сведения о покупателе» при необходимости заполняются данные покупателя. На вкладке «Отраслевые реквизиты» при необходиости указываются отраслевые реквизиты чека.</w:t>
      </w:r>
    </w:p>
    <w:p>
      <w:pPr>
        <w:pStyle w:val="para2"/>
      </w:pPr>
      <w:r>
        <w:t>Добавление товарной позиции в чек</w:t>
      </w:r>
    </w:p>
    <w:p>
      <w:pPr>
        <w:rPr>
          <w:rFonts w:eastAsia="SimSun"/>
          <w:color w:val="222222"/>
        </w:rPr>
      </w:pPr>
      <w:r>
        <w:rPr>
          <w:rFonts w:eastAsia="SimSun"/>
          <w:color w:val="222222"/>
        </w:rPr>
        <w:t xml:space="preserve">Чтобы добавить товарную позицию в открытый чек, нажмите кнопку </w:t>
      </w:r>
      <w:r/>
      <w:r>
        <w:rPr>
          <w:noProof/>
        </w:rPr>
        <w:drawing>
          <wp:inline distT="0" distB="0" distL="0" distR="0">
            <wp:extent cx="406400" cy="406400"/>
            <wp:effectExtent l="0" t="0" r="0" b="0"/>
            <wp:docPr id="18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gAIAAIACAAAAAAAAAAAAAAAAAAA="/>
                        </a:ext>
                      </a:extLst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SimSun"/>
          <w:color w:val="222222"/>
        </w:rPr>
        <w:t>.</w:t>
      </w:r>
      <w:r>
        <w:rPr>
          <w:rFonts w:eastAsia="SimSun"/>
          <w:color w:val="222222"/>
        </w:rPr>
      </w:r>
    </w:p>
    <w:p>
      <w:pPr>
        <w:rPr>
          <w:rFonts w:eastAsia="SimSun"/>
          <w:color w:val="222222"/>
        </w:rPr>
      </w:pPr>
      <w:r>
        <w:rPr>
          <w:rFonts w:eastAsia="SimSun"/>
          <w:color w:val="222222"/>
        </w:rPr>
        <w:t>В открывшемся окне заполните: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признак предмета расчета (товар, подакцизный товар, работа, услуга и т.п);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признак способа расчета  (полная оплата, преоплата и т.п.);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наименование предмета расчета;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единица измерения предмета расчета;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количество единиц предмета расчета;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цена за единицу предмета расчета;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дополнительный реквизит предмета расчета (при наличии);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при необходимости указыается код страны  происхождения предмета расчета и номер декларации;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при необходимости для подакцизного товара указывается сумма акция с учётом копеек, ключенная в стоимость предмета расчета;</w:t>
      </w:r>
      <w:r>
        <w:rPr>
          <w:rFonts w:eastAsia="SimSun"/>
          <w:color w:val="222222"/>
        </w:rPr>
      </w:r>
    </w:p>
    <w:p>
      <w:pPr>
        <w:numPr>
          <w:ilvl w:val="0"/>
          <w:numId w:val="4"/>
        </w:numPr>
        <w:ind w:left="360" w:firstLine="349"/>
        <w:rPr>
          <w:rFonts w:eastAsia="SimSun"/>
          <w:color w:val="222222"/>
        </w:rPr>
      </w:pPr>
      <w:r>
        <w:rPr>
          <w:rFonts w:eastAsia="SimSun"/>
          <w:color w:val="222222"/>
        </w:rPr>
        <w:t>при необходимости отсканируйте штрих-код предмета расчета (см. подробнее в п. Продажа маркированного товара)</w:t>
      </w:r>
      <w:r>
        <w:rPr>
          <w:rFonts w:eastAsia="SimSun"/>
          <w:color w:val="222222"/>
        </w:rPr>
      </w:r>
    </w:p>
    <w:p>
      <w:pPr>
        <w:ind w:left="360"/>
        <w:rPr>
          <w:rFonts w:eastAsia="SimSun"/>
          <w:color w:val="222222"/>
        </w:rPr>
      </w:pPr>
      <w:r/>
      <w:r>
        <w:rPr>
          <w:noProof/>
        </w:rPr>
        <w:drawing>
          <wp:inline distT="0" distB="0" distL="0" distR="0">
            <wp:extent cx="4724400" cy="5510530"/>
            <wp:effectExtent l="0" t="0" r="0" b="0"/>
            <wp:docPr id="19" name="Рисунок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688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BAdAADmIQAAEB0AAOYh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QAAAAAAAAAAAAAAAQAAAAAAAAAAAAAAEB0AAOYhAAAAAAAAAAAAAAAAAAA="/>
                        </a:ext>
                      </a:extLst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551053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SimSun"/>
          <w:color w:val="222222"/>
        </w:rPr>
      </w:r>
    </w:p>
    <w:p>
      <w:pPr>
        <w:pStyle w:val="para5"/>
      </w:pPr>
      <w:r>
        <w:t>Рисунок 11 Добавление позиции в чек. Вкладка Операция</w:t>
      </w:r>
    </w:p>
    <w:p>
      <w:r/>
    </w:p>
    <w:p>
      <w:r>
        <w:t>Для добавления агентской информации в предмет расчета перейдите на вкладку «Данные агента». На этой вкладке выберите нужный тип агента и заполните реквизиты в соответствии с выбранным типом.</w:t>
      </w:r>
    </w:p>
    <w:p>
      <w:r>
        <w:rPr>
          <w:noProof/>
        </w:rPr>
        <w:drawing>
          <wp:inline distT="0" distB="0" distL="0" distR="0">
            <wp:extent cx="4848225" cy="5654675"/>
            <wp:effectExtent l="0" t="0" r="0" b="0"/>
            <wp:docPr id="20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NMdAADJIgAA0x0AAMki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0x0AAMkiAAAAAAAAAAAAAAAAAAA="/>
                        </a:ext>
                      </a:extLst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6546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12 Данные агента для позиции чека</w:t>
      </w:r>
    </w:p>
    <w:p>
      <w:r/>
    </w:p>
    <w:p>
      <w:r>
        <w:t>Чтобы добавить отраслевые реквизиты к предмету расчёта, переидите на вкладку Отраслевые реквизиты</w:t>
      </w:r>
    </w:p>
    <w:p>
      <w:r>
        <w:rPr>
          <w:noProof/>
        </w:rPr>
        <w:drawing>
          <wp:inline distT="0" distB="0" distL="0" distR="0">
            <wp:extent cx="5076825" cy="5921375"/>
            <wp:effectExtent l="0" t="0" r="0" b="0"/>
            <wp:docPr id="21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DsfAABtJAAAOx8AAG0k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Ox8AAG0kAAAAAAAAAAAAAAAAAAA="/>
                        </a:ext>
                      </a:extLst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59213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13 Отраслевые реквизиты для позиции чека</w:t>
      </w:r>
    </w:p>
    <w:p>
      <w:r/>
    </w:p>
    <w:p>
      <w:r>
        <w:t xml:space="preserve">Для добавления реквизита используйте кнопку </w:t>
      </w:r>
      <w:r>
        <w:rPr>
          <w:noProof/>
        </w:rPr>
        <w:drawing>
          <wp:inline distT="0" distB="0" distL="0" distR="0">
            <wp:extent cx="406400" cy="406400"/>
            <wp:effectExtent l="0" t="0" r="0" b="0"/>
            <wp:docPr id="22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gAIAAIACAAAAAAAAAAAAAAAAAAA="/>
                        </a:ext>
                      </a:extLst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для удаления - кнопку </w:t>
      </w:r>
      <w:r>
        <w:rPr>
          <w:noProof/>
        </w:rPr>
        <w:drawing>
          <wp:inline distT="0" distB="0" distL="0" distR="0">
            <wp:extent cx="406400" cy="406400"/>
            <wp:effectExtent l="0" t="0" r="0" b="0"/>
            <wp:docPr id="23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gAIAAIACAAAAAAAAAAAAAAAAAAA="/>
                        </a:ext>
                      </a:extLst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r>
        <w:t xml:space="preserve"> </w:t>
      </w:r>
      <w:r>
        <w:br w:type="page"/>
      </w:r>
    </w:p>
    <w:p>
      <w:pPr>
        <w:pStyle w:val="para2"/>
      </w:pPr>
      <w:r>
        <w:t>Продажа маркированного товара</w:t>
      </w:r>
    </w:p>
    <w:p>
      <w:pPr>
        <w:pStyle w:val="para6"/>
      </w:pPr>
      <w:r>
        <w:t xml:space="preserve">Для работы ККТ с маркированным товаром, при регистрации ККТ должен быть указан флаг продажи маркированного товара. </w:t>
      </w:r>
    </w:p>
    <w:p>
      <w:pPr>
        <w:pStyle w:val="para6"/>
        <w:rPr>
          <w:b/>
          <w:bCs/>
          <w:i/>
          <w:iCs/>
        </w:rPr>
      </w:pPr>
      <w:r>
        <w:rPr>
          <w:b/>
          <w:bCs/>
          <w:i/>
          <w:iCs/>
        </w:rPr>
        <w:t xml:space="preserve">Сканер подключается к управляющему устройству, на котором установленна программа Рабочее место СК-1. Для работы подключите сканер Aisino VM-SC02 или аналогичный (поддерживаемые модели уточняйте у производителя) к USB-порту управляющего устройства. </w:t>
      </w:r>
    </w:p>
    <w:p>
      <w:pPr>
        <w:pStyle w:val="para6"/>
      </w:pPr>
      <w:r>
        <w:t xml:space="preserve">Для добавления маркированного товара в чек, нажмите кнопку </w:t>
      </w:r>
      <w:r>
        <w:rPr>
          <w:noProof/>
        </w:rPr>
        <w:drawing>
          <wp:inline distT="0" distB="0" distL="0" distR="0">
            <wp:extent cx="457200" cy="457200"/>
            <wp:effectExtent l="0" t="0" r="0" b="0"/>
            <wp:docPr id="24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0AIAANACAAAAAAAAAAAAAAAAAAA="/>
                        </a:ext>
                      </a:extLst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>
      <w:pPr>
        <w:pStyle w:val="para6"/>
      </w:pPr>
      <w:r>
        <w:t>В открывшемся окне уже будет выбран признак предмета расчета - ТНМ, заполните все данные позиции и отсканируйте марку в предназначенное для этого окно.</w:t>
      </w:r>
    </w:p>
    <w:p>
      <w:pPr>
        <w:pStyle w:val="para6"/>
      </w:pPr>
      <w:r>
        <w:rPr>
          <w:noProof/>
        </w:rPr>
        <w:drawing>
          <wp:inline distT="0" distB="0" distL="0" distR="0">
            <wp:extent cx="4695190" cy="4899660"/>
            <wp:effectExtent l="0" t="0" r="0" b="0"/>
            <wp:docPr id="25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OIcAAAkHgAA4hwAACQe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QAAAAAAAAAAAAAAAQAAAAAAAAAAAAAA4hwAACQeAAAAAAAAAAAAAAAAAAA="/>
                        </a:ext>
                      </a:extLst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48996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14 Добавление маркированного товара</w:t>
      </w:r>
    </w:p>
    <w:p>
      <w:r>
        <w:t>После нажатия кнопки «Сохранить» при необходимости выставите флаги работы с маркированным товаром.</w:t>
      </w:r>
    </w:p>
    <w:p>
      <w:r>
        <w:rPr>
          <w:noProof/>
        </w:rPr>
        <w:drawing>
          <wp:inline distT="0" distB="0" distL="0" distR="0">
            <wp:extent cx="4886325" cy="5553075"/>
            <wp:effectExtent l="0" t="0" r="0" b="0"/>
            <wp:docPr id="26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Dx4AACkiAAAAAAAAAAAAAAAAAAA="/>
                        </a:ext>
                      </a:extLst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55530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15 Флаги работы с маркированным товаром</w:t>
      </w:r>
    </w:p>
    <w:p>
      <w:r/>
    </w:p>
    <w:p>
      <w:pPr>
        <w:rPr>
          <w:rFonts w:eastAsia="Lucida Sans Unicode" w:cs="Tahoma"/>
          <w:szCs w:val="24"/>
        </w:rPr>
      </w:pPr>
      <w:r>
        <w:t xml:space="preserve">Далее после нажатия кнопки «ОК», если не было выставлено «Не формировать запрос о коде маркировки», ККТ выполняет </w:t>
      </w:r>
      <w:r>
        <w:rPr>
          <w:rFonts w:eastAsia="Lucida Sans Unicode" w:cs="Tahoma"/>
          <w:szCs w:val="24"/>
        </w:rPr>
        <w:t xml:space="preserve">запрос о коде маркировки к Оператору информационных систем маркировки (ОИМС) и  приложение отображает на экране результат проверки маркировки. </w:t>
      </w:r>
      <w:r>
        <w:rPr>
          <w:rFonts w:eastAsia="Lucida Sans Unicode" w:cs="Tahoma"/>
          <w:szCs w:val="24"/>
        </w:rPr>
      </w:r>
    </w:p>
    <w:p>
      <w:pPr>
        <w:rPr>
          <w:rFonts w:eastAsia="Lucida Sans Unicode" w:cs="Tahoma"/>
          <w:szCs w:val="24"/>
        </w:rPr>
      </w:pPr>
      <w:r/>
      <w:r>
        <w:rPr>
          <w:noProof/>
        </w:rPr>
        <w:drawing>
          <wp:inline distT="0" distB="0" distL="0" distR="0">
            <wp:extent cx="5162550" cy="5387340"/>
            <wp:effectExtent l="0" t="0" r="0" b="0"/>
            <wp:docPr id="2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MIfAAAkIQAAwh8AACQh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h8AACQhAAAAAAAAAAAAAAAAAAA="/>
                        </a:ext>
                      </a:extLst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53873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Lucida Sans Unicode" w:cs="Tahoma"/>
          <w:szCs w:val="24"/>
        </w:rPr>
      </w:r>
    </w:p>
    <w:p>
      <w:pPr>
        <w:pStyle w:val="para5"/>
      </w:pPr>
      <w:r>
        <w:t>Рисунок 16 Результат проверки маркировки</w:t>
      </w:r>
    </w:p>
    <w:p>
      <w:pPr>
        <w:rPr>
          <w:rFonts w:eastAsia="Lucida Sans Unicode" w:cs="Tahoma"/>
          <w:szCs w:val="24"/>
        </w:rPr>
      </w:pPr>
      <w:r>
        <w:rPr>
          <w:rFonts w:eastAsia="Lucida Sans Unicode" w:cs="Tahoma"/>
          <w:szCs w:val="24"/>
        </w:rPr>
      </w:r>
    </w:p>
    <w:p>
      <w:pPr>
        <w:rPr>
          <w:rFonts w:eastAsia="Lucida Sans Unicode" w:cs="Tahoma"/>
          <w:szCs w:val="24"/>
        </w:rPr>
      </w:pPr>
      <w:r>
        <w:rPr>
          <w:rFonts w:eastAsia="Lucida Sans Unicode" w:cs="Tahoma"/>
          <w:szCs w:val="24"/>
        </w:rPr>
        <w:t>После нажмите «Сохранить» для добавления позиции в чек. При закрытии чек одновременно с документом закрытия чека ККТ формирует фискальный документ Уведомление о реализации маркированного товара.</w:t>
      </w:r>
    </w:p>
    <w:p>
      <w:pPr>
        <w:pStyle w:val="para6"/>
      </w:pPr>
      <w:r/>
    </w:p>
    <w:p>
      <w:pPr>
        <w:pStyle w:val="para6"/>
        <w:rPr>
          <w:i/>
        </w:rPr>
      </w:pPr>
      <w:r>
        <w:rPr>
          <w:i/>
        </w:rPr>
        <w:t>Допускается сканирование вместо кода маркировки кода товара в следующих ситуациях:</w:t>
      </w:r>
    </w:p>
    <w:p>
      <w:pPr>
        <w:ind w:firstLine="708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SimSun"/>
          <w:i/>
          <w:color w:val="000000"/>
          <w:sz w:val="30"/>
          <w:szCs w:val="20"/>
        </w:rPr>
      </w:pPr>
      <w:r>
        <w:rPr>
          <w:rFonts w:eastAsia="SimSun"/>
          <w:i/>
          <w:color w:val="000000"/>
          <w:sz w:val="30"/>
          <w:szCs w:val="20"/>
        </w:rPr>
        <w:t>- в момент расчета за маркированный товар с использованием автоматического устройства для расчетов, содержащего внутри своего корпуса оборудование для осуществления выдачи товара покупателю в момент расчета за такой товар;</w:t>
      </w:r>
    </w:p>
    <w:p>
      <w:pPr>
        <w:ind w:firstLine="54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SimSun"/>
          <w:i/>
          <w:color w:val="000000"/>
          <w:sz w:val="30"/>
          <w:szCs w:val="20"/>
        </w:rPr>
      </w:pPr>
      <w:r>
        <w:rPr>
          <w:rFonts w:eastAsia="SimSun"/>
          <w:i/>
          <w:color w:val="000000"/>
          <w:sz w:val="30"/>
          <w:szCs w:val="20"/>
        </w:rPr>
        <w:t>- при оказании покупателю (клиенту) услуг общественного питания, предусматривающих передачу (выдачу) ему маркированного товара в потребительской упаковке, на которую нанесено средство идентификации, либо части маркированного товара без такой потребительской упаковки, до или после момента осуществления расчета за указанные услуги, включающего в себя расчет за такой товар или его часть;</w:t>
      </w:r>
    </w:p>
    <w:p>
      <w:pPr>
        <w:ind w:firstLine="54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SimSun"/>
          <w:i/>
          <w:color w:val="000000"/>
          <w:sz w:val="30"/>
          <w:szCs w:val="20"/>
        </w:rPr>
      </w:pPr>
      <w:r/>
      <w:bookmarkStart w:id="0" w:name="dst100104"/>
      <w:bookmarkEnd w:id="0"/>
      <w:r/>
      <w:r>
        <w:rPr>
          <w:rFonts w:eastAsia="SimSun"/>
          <w:i/>
          <w:color w:val="000000"/>
          <w:sz w:val="30"/>
          <w:szCs w:val="20"/>
        </w:rPr>
        <w:t>- в отношении маркированных товаров, которые имеют один код товара, входящий в состав кода идентификации, определяемый по установленным форматам фискальных документов, и при этом покупатель (клиент) является организацией или индивидуальным предпринимателем, которые осуществляют расчет за такой товар наличными деньгами или с предъявлением электронного средства платежа в порядке, установленном  Федеральным законом 54-ФЗ.</w:t>
      </w:r>
      <w:r>
        <w:rPr>
          <w:rFonts w:eastAsia="SimSun"/>
          <w:i/>
          <w:color w:val="000000"/>
          <w:sz w:val="30"/>
          <w:szCs w:val="20"/>
        </w:rPr>
      </w:r>
    </w:p>
    <w:p>
      <w:r>
        <w:t xml:space="preserve">В таких случаях позиция чека добавляется как обычно по кнопке </w:t>
      </w:r>
      <w:r>
        <w:rPr>
          <w:noProof/>
        </w:rPr>
        <w:drawing>
          <wp:inline distT="0" distB="0" distL="0" distR="0">
            <wp:extent cx="406400" cy="406400"/>
            <wp:effectExtent l="0" t="0" r="0" b="0"/>
            <wp:docPr id="28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gAIAAIACAAAAAAAAAAAAAAAAAAA="/>
                        </a:ext>
                      </a:extLst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r>
        <w:t>и штрих-код сканируется в предназначенное для этого окно.</w:t>
      </w:r>
    </w:p>
    <w:p>
      <w:pPr>
        <w:rPr>
          <w:rFonts w:eastAsia="Lucida Sans Unicode" w:cs="Tahoma"/>
          <w:szCs w:val="24"/>
        </w:rPr>
      </w:pPr>
      <w:r>
        <w:t xml:space="preserve">В таком случае </w:t>
      </w:r>
      <w:r>
        <w:rPr>
          <w:rFonts w:eastAsia="Lucida Sans Unicode" w:cs="Tahoma"/>
          <w:szCs w:val="24"/>
        </w:rPr>
        <w:t>также при закрытии чек одновременно с документом закрытия чека ККТ формирует фискальный документ Уведомление о реализации маркированного товара. В документ Уведомление о реализации маркированного товара будет включен код товара, входящий в состав кода идентификации, определяемый по установленным форматам фискальных документов.</w:t>
      </w:r>
      <w:r>
        <w:rPr>
          <w:rFonts w:eastAsia="Lucida Sans Unicode" w:cs="Tahoma"/>
          <w:szCs w:val="24"/>
        </w:rPr>
      </w:r>
      <w:r>
        <w:br w:type="page"/>
      </w:r>
    </w:p>
    <w:p>
      <w:pPr>
        <w:pStyle w:val="para2"/>
      </w:pPr>
      <w:r>
        <w:t>Закрытие чека. Оплата</w:t>
      </w:r>
    </w:p>
    <w:p>
      <w:pPr>
        <w:pStyle w:val="para6"/>
      </w:pPr>
      <w:r>
        <w:t xml:space="preserve">Чтобы перейти к оплате, нажмите кнопку </w:t>
      </w:r>
      <w:r>
        <w:rPr>
          <w:noProof/>
        </w:rPr>
        <w:drawing>
          <wp:inline distT="0" distB="0" distL="0" distR="0">
            <wp:extent cx="285750" cy="285750"/>
            <wp:effectExtent l="0" t="0" r="0" b="0"/>
            <wp:docPr id="29" name="Рисунок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736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gEAAMIBAAAAAAAAAAAAAAAAAAA="/>
                        </a:ext>
                      </a:extLst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открывшемся окне укажите суммы по нужным типам оплаты.</w:t>
      </w:r>
    </w:p>
    <w:p>
      <w:pPr>
        <w:pStyle w:val="para6"/>
      </w:pPr>
      <w:r>
        <w:rPr>
          <w:noProof/>
        </w:rPr>
        <w:drawing>
          <wp:inline distT="0" distB="0" distL="0" distR="0">
            <wp:extent cx="2914650" cy="4133850"/>
            <wp:effectExtent l="0" t="0" r="0" b="0"/>
            <wp:docPr id="30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7hEAAG4ZAAAAAAAAAAAAAAAAAAA="/>
                        </a:ext>
                      </a:extLst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413385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17 Окно оплаты</w:t>
      </w:r>
    </w:p>
    <w:p>
      <w:r/>
    </w:p>
    <w:p>
      <w:pPr>
        <w:rPr>
          <w:rFonts w:eastAsia="Lucida Sans Unicode" w:cs="Tahoma"/>
          <w:szCs w:val="24"/>
        </w:rPr>
      </w:pPr>
      <w:r>
        <w:t xml:space="preserve">Если вся сумма будет оплачена наличными, нажмите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31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если вся сумма будет оплачена картой, нажмите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32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Чтобы очистить все строки нажмите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33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Чтобы принять оплату нажмите кнопку «Оплатить». </w:t>
      </w:r>
      <w:r>
        <w:rPr>
          <w:rFonts w:eastAsia="Lucida Sans Unicode" w:cs="Tahoma"/>
          <w:szCs w:val="24"/>
        </w:rPr>
        <w:t>Сумма оплаты не может быть меньше, чем сумма чека.</w:t>
      </w:r>
      <w:r>
        <w:rPr>
          <w:rFonts w:eastAsia="Lucida Sans Unicode" w:cs="Tahoma"/>
          <w:szCs w:val="24"/>
        </w:rPr>
      </w:r>
    </w:p>
    <w:p>
      <w:pPr>
        <w:rPr>
          <w:rFonts w:eastAsia="Lucida Sans Unicode" w:cs="Tahoma"/>
          <w:szCs w:val="24"/>
        </w:rPr>
      </w:pPr>
      <w:r>
        <w:rPr>
          <w:rFonts w:eastAsia="Lucida Sans Unicode" w:cs="Tahoma"/>
          <w:szCs w:val="24"/>
        </w:rPr>
      </w:r>
    </w:p>
    <w:p>
      <w:pPr>
        <w:rPr>
          <w:rFonts w:eastAsia="Lucida Sans Unicode" w:cs="Tahoma"/>
          <w:szCs w:val="24"/>
        </w:rPr>
      </w:pPr>
      <w:r>
        <w:rPr>
          <w:rFonts w:eastAsia="Lucida Sans Unicode" w:cs="Tahoma"/>
          <w:szCs w:val="24"/>
        </w:rPr>
      </w:r>
    </w:p>
    <w:p>
      <w:pPr>
        <w:pStyle w:val="para2"/>
      </w:pPr>
      <w:r>
        <w:t>Общий вид кассового чека</w:t>
      </w:r>
    </w:p>
    <w:p>
      <w:pPr>
        <w:pStyle w:val="para6"/>
      </w:pPr>
      <w:r>
        <w:t>Кассовый чек, выдаваемый покупателю, имеет следующий вид:</w:t>
      </w:r>
    </w:p>
    <w:p>
      <w:pPr>
        <w:pStyle w:val="para6"/>
        <w:spacing/>
        <w:jc w:val="center"/>
      </w:pPr>
      <w:r>
        <w:rPr>
          <w:noProof/>
        </w:rPr>
        <w:drawing>
          <wp:inline distT="0" distB="0" distL="0" distR="0">
            <wp:extent cx="2700020" cy="4669790"/>
            <wp:effectExtent l="0" t="0" r="0" b="0"/>
            <wp:docPr id="34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nBAAALocAAAAAAAAAAAAAAAAAAA="/>
                        </a:ext>
                      </a:extLst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700020" cy="46697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18 Кассовый чек</w:t>
      </w:r>
      <w:r>
        <w:br w:type="page"/>
      </w:r>
    </w:p>
    <w:p>
      <w:pPr>
        <w:pStyle w:val="para1"/>
      </w:pPr>
      <w:r>
        <w:t>Закрытие смены</w:t>
      </w:r>
    </w:p>
    <w:p>
      <w:pPr>
        <w:pStyle w:val="para6"/>
        <w:ind w:left="-57" w:firstLine="851"/>
      </w:pPr>
      <w:r>
        <w:rPr>
          <w:rFonts w:eastAsia="Times New Roman" w:cs="Times New Roman"/>
          <w:szCs w:val="28"/>
        </w:rPr>
        <w:t xml:space="preserve">Длительность смены на ККТ не может превышать 24 часа. Чтобы закрыть смену, выберите меню Операции – Закрыть смену или нажмите кнопку </w:t>
      </w:r>
      <w:r/>
      <w:r>
        <w:rPr>
          <w:noProof/>
        </w:rPr>
        <w:drawing>
          <wp:inline distT="0" distB="0" distL="0" distR="0">
            <wp:extent cx="812800" cy="812800"/>
            <wp:effectExtent l="0" t="0" r="0" b="0"/>
            <wp:docPr id="35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AAUAAAAFAAAAAAAAAAAAAAAAAAA="/>
                        </a:ext>
                      </a:extLst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812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Times New Roman" w:cs="Times New Roman"/>
          <w:szCs w:val="28"/>
        </w:rPr>
        <w:t xml:space="preserve">. </w:t>
      </w:r>
      <w:r>
        <w:t>При необходимости укажите дополнительный реквизит закрытия смены.</w:t>
      </w:r>
    </w:p>
    <w:p>
      <w:pPr>
        <w:pStyle w:val="para6"/>
        <w:ind w:left="-57" w:firstLine="851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</w:r>
    </w:p>
    <w:p>
      <w:pPr>
        <w:pStyle w:val="para6"/>
        <w:ind w:left="-57" w:firstLine="851"/>
        <w:rPr>
          <w:rFonts w:eastAsia="Times New Roman" w:cs="Times New Roman"/>
          <w:szCs w:val="28"/>
        </w:rPr>
      </w:pPr>
      <w:r/>
      <w:r>
        <w:rPr>
          <w:noProof/>
        </w:rPr>
        <w:drawing>
          <wp:inline distT="0" distB="0" distL="0" distR="0">
            <wp:extent cx="3638550" cy="5312410"/>
            <wp:effectExtent l="0" t="0" r="0" b="0"/>
            <wp:docPr id="36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GIWAACuIAAAYhYAAK4g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YhYAAK4gAAAAAAAAAAAAAAAAAAA="/>
                        </a:ext>
                      </a:extLst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53124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Times New Roman" w:cs="Times New Roman"/>
          <w:szCs w:val="28"/>
        </w:rPr>
      </w:r>
    </w:p>
    <w:p>
      <w:pPr>
        <w:pStyle w:val="para5"/>
      </w:pPr>
      <w:r>
        <w:t>Рисунок 19 Окно закрытия смены</w:t>
      </w:r>
    </w:p>
    <w:p>
      <w:r>
        <w:t xml:space="preserve">Чтобы распечать отчёт нажмите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3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r>
        <w:rPr>
          <w:noProof/>
        </w:rPr>
        <w:drawing>
          <wp:inline distT="0" distB="0" distL="0" distR="0">
            <wp:extent cx="5212080" cy="8924290"/>
            <wp:effectExtent l="0" t="0" r="0" b="0"/>
            <wp:docPr id="38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ECAAAOY2AAAAAAAAAAAAAAAAAAA="/>
                        </a:ext>
                      </a:extLst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89242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20 Отчёт о закрытии смены</w:t>
      </w:r>
    </w:p>
    <w:p>
      <w:pPr>
        <w:pStyle w:val="para1"/>
      </w:pPr>
      <w:r>
        <w:t>Чек коррекции</w:t>
      </w:r>
    </w:p>
    <w:p>
      <w:r>
        <w:t xml:space="preserve">Чтобы оформить чек коррекции, выберите соответсвующий пункт из меню Операции или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39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</w:t>
      </w:r>
    </w:p>
    <w:p>
      <w:r>
        <w:t>Оформление чека коррекции происходит аналогично оформлению кассовго чека.</w:t>
      </w:r>
    </w:p>
    <w:p>
      <w:r>
        <w:rPr>
          <w:noProof/>
        </w:rPr>
        <w:drawing>
          <wp:inline distT="0" distB="0" distL="0" distR="0">
            <wp:extent cx="5670550" cy="3003550"/>
            <wp:effectExtent l="0" t="0" r="0" b="0"/>
            <wp:docPr id="40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HoSAAAAAAAAAAAAAAAAAAA="/>
                        </a:ext>
                      </a:extLst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00355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21 Окно оформления чека коррекции</w:t>
      </w:r>
    </w:p>
    <w:p>
      <w:r>
        <w:rPr>
          <w:noProof/>
        </w:rPr>
        <w:drawing>
          <wp:inline distT="0" distB="0" distL="0" distR="0">
            <wp:extent cx="1635760" cy="3450590"/>
            <wp:effectExtent l="0" t="0" r="0" b="0"/>
            <wp:docPr id="41" name="Рисунок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736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EAoAADoVAAAAAAAAAAAAAAAAAAA="/>
                        </a:ext>
                      </a:extLst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35760" cy="34505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22 Чек коррекции</w:t>
      </w:r>
    </w:p>
    <w:p>
      <w:pPr>
        <w:pStyle w:val="para1"/>
      </w:pPr>
      <w:r>
        <w:t>Получение документов из фискального накопителя</w:t>
      </w:r>
    </w:p>
    <w:p>
      <w:r>
        <w:t xml:space="preserve">Чтобы получить документы из фискального накопителя, выберите меню Отчёты и далее нужный документ или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42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</w:t>
      </w:r>
    </w:p>
    <w:p>
      <w:r>
        <w:t xml:space="preserve"> В открывшемся окне выберите нужным тип отчета, укажите номер ФД.  Документ будет отображён на экране, чтобы распечатать документ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43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>
      <w:r>
        <w:t>Чтобы очистить окно и перезапросить новый документ нажмите кнопку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44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r/>
    </w:p>
    <w:p>
      <w:r>
        <w:rPr>
          <w:noProof/>
        </w:rPr>
        <w:drawing>
          <wp:inline distT="0" distB="0" distL="0" distR="0">
            <wp:extent cx="4086225" cy="5716905"/>
            <wp:effectExtent l="0" t="0" r="0" b="0"/>
            <wp:docPr id="45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CMZAAArIwAAIxkAACsj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QAAAAAAAAAAAAAAAQAAAAAAAAAAAAAAIxkAACsjAAAAAAAAAAAAAAAAAAA="/>
                        </a:ext>
                      </a:extLst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571690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23 Получение ФД по номеру</w:t>
      </w:r>
    </w:p>
    <w:p>
      <w:r/>
    </w:p>
    <w:p>
      <w:r>
        <w:rPr>
          <w:noProof/>
        </w:rPr>
        <w:drawing>
          <wp:inline distT="0" distB="0" distL="0" distR="0">
            <wp:extent cx="2512695" cy="1723390"/>
            <wp:effectExtent l="0" t="0" r="0" b="0"/>
            <wp:docPr id="46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dQ8AAJoKAAAAAAAAAAAAAAAAAAA="/>
                        </a:ext>
                      </a:extLst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12695" cy="17233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24 ФД по номеру</w:t>
      </w:r>
    </w:p>
    <w:p>
      <w:r/>
    </w:p>
    <w:p>
      <w:r>
        <w:rPr>
          <w:noProof/>
        </w:rPr>
        <w:drawing>
          <wp:inline distT="0" distB="0" distL="0" distR="0">
            <wp:extent cx="2171700" cy="905510"/>
            <wp:effectExtent l="0" t="0" r="0" b="0"/>
            <wp:docPr id="47" name="Рисунок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736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XA0AAJIFAAAAAAAAAAAAAAAAAAA="/>
                        </a:ext>
                      </a:extLst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9055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25 Подтверждение ОФД о получении ФД</w:t>
      </w:r>
    </w:p>
    <w:p>
      <w:r/>
    </w:p>
    <w:p>
      <w:r>
        <w:rPr>
          <w:noProof/>
        </w:rPr>
        <w:drawing>
          <wp:inline distT="0" distB="0" distL="0" distR="0">
            <wp:extent cx="2171700" cy="1610995"/>
            <wp:effectExtent l="0" t="0" r="0" b="0"/>
            <wp:docPr id="48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XA0AAOkJAAAAAAAAAAAAAAAAAAA="/>
                        </a:ext>
                      </a:extLst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109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26 Отчёт о регистрации по номеру</w:t>
      </w:r>
    </w:p>
    <w:p>
      <w:r/>
    </w:p>
    <w:p>
      <w:r>
        <w:rPr>
          <w:noProof/>
        </w:rPr>
        <w:drawing>
          <wp:inline distT="0" distB="0" distL="0" distR="0">
            <wp:extent cx="2171700" cy="942975"/>
            <wp:effectExtent l="0" t="0" r="0" b="0"/>
            <wp:docPr id="49" name="Рисунок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736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XA0AAM0FAAAAAAAAAAAAAAAAAAA="/>
                        </a:ext>
                      </a:extLst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942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27 Отчёт о параметре регистрации</w:t>
      </w:r>
    </w:p>
    <w:p>
      <w:r>
        <w:rPr>
          <w:noProof/>
        </w:rPr>
        <w:drawing>
          <wp:inline distT="0" distB="0" distL="0" distR="0">
            <wp:extent cx="2164715" cy="3521710"/>
            <wp:effectExtent l="0" t="0" r="0" b="0"/>
            <wp:docPr id="50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UQ0AAKoVAAAAAAAAAAAAAAAAAAA="/>
                        </a:ext>
                      </a:extLst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64715" cy="35217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28 ФД в TLV формате</w:t>
      </w:r>
    </w:p>
    <w:p>
      <w:r>
        <w:rPr>
          <w:noProof/>
        </w:rPr>
        <w:drawing>
          <wp:inline distT="0" distB="0" distL="0" distR="0">
            <wp:extent cx="2164715" cy="1142365"/>
            <wp:effectExtent l="0" t="0" r="0" b="0"/>
            <wp:docPr id="51" name="Рисунок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736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UQ0AAAcHAAAAAAAAAAAAAAAAAAA="/>
                        </a:ext>
                      </a:extLst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164715" cy="11423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29 Отчёт о количестве ФД без подтверждения ОФД</w:t>
      </w:r>
    </w:p>
    <w:p>
      <w:r/>
    </w:p>
    <w:p>
      <w:r>
        <w:rPr>
          <w:noProof/>
        </w:rPr>
        <w:drawing>
          <wp:inline distT="0" distB="0" distL="0" distR="0">
            <wp:extent cx="4627880" cy="8920480"/>
            <wp:effectExtent l="0" t="0" r="0" b="0"/>
            <wp:docPr id="52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eBwAAOA2AAAAAAAAAAAAAAAAAAA="/>
                        </a:ext>
                      </a:extLst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627880" cy="89204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30 Отчёт о текущем состоянии расчетов</w:t>
      </w:r>
    </w:p>
    <w:p>
      <w:pPr>
        <w:pStyle w:val="para1"/>
      </w:pPr>
      <w:r>
        <w:t>Получение статистики по ККТ</w:t>
      </w:r>
    </w:p>
    <w:p>
      <w:r>
        <w:t xml:space="preserve">Для получения значений счетчиков итогов смены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53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</w:t>
      </w:r>
    </w:p>
    <w:p>
      <w:r/>
    </w:p>
    <w:p>
      <w:r>
        <w:rPr>
          <w:noProof/>
        </w:rPr>
        <w:drawing>
          <wp:inline distT="0" distB="0" distL="0" distR="0">
            <wp:extent cx="4210050" cy="5400675"/>
            <wp:effectExtent l="0" t="0" r="0" b="0"/>
            <wp:docPr id="54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5hkAADkhAAAAAAAAAAAAAAAAAAA="/>
                        </a:ext>
                      </a:extLst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4006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31 Счётчики итогов смены</w:t>
      </w:r>
    </w:p>
    <w:p>
      <w:r/>
    </w:p>
    <w:p>
      <w:r>
        <w:t xml:space="preserve">Для получения значений счётчиков итогов ФН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55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</w:t>
      </w:r>
    </w:p>
    <w:p>
      <w:r/>
    </w:p>
    <w:p>
      <w:r>
        <w:rPr>
          <w:noProof/>
        </w:rPr>
        <w:drawing>
          <wp:inline distT="0" distB="0" distL="0" distR="0">
            <wp:extent cx="4210050" cy="5400675"/>
            <wp:effectExtent l="0" t="0" r="0" b="0"/>
            <wp:docPr id="56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5hkAADkhAAAAAAAAAAAAAAAAAAA="/>
                        </a:ext>
                      </a:extLst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4006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32 Счётчики итогов ФН</w:t>
      </w:r>
      <w:r>
        <w:br w:type="page"/>
      </w:r>
    </w:p>
    <w:p>
      <w:pPr>
        <w:pStyle w:val="para1"/>
      </w:pPr>
      <w:r>
        <w:t>Настройка ККТ</w:t>
      </w:r>
    </w:p>
    <w:p>
      <w:pPr>
        <w:pStyle w:val="para2"/>
      </w:pPr>
      <w:r>
        <w:t>Настройка кассиров</w:t>
      </w:r>
    </w:p>
    <w:p>
      <w:r>
        <w:t xml:space="preserve">Чтобы вызвать список кассиров,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5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</w:t>
      </w:r>
    </w:p>
    <w:p>
      <w:r>
        <w:rPr>
          <w:noProof/>
        </w:rPr>
        <w:drawing>
          <wp:inline distT="0" distB="0" distL="0" distR="0">
            <wp:extent cx="3810000" cy="5524500"/>
            <wp:effectExtent l="0" t="0" r="0" b="0"/>
            <wp:docPr id="58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BcAAPwhAAAAAAAAAAAAAAAAAAA="/>
                        </a:ext>
                      </a:extLst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5245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33 Список кассиров</w:t>
      </w:r>
    </w:p>
    <w:p>
      <w:r/>
    </w:p>
    <w:p>
      <w:r>
        <w:t xml:space="preserve">Чтобы добавить кассира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59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заполните информацию и кассире, отметьте, какие операции ему разрешены</w:t>
      </w:r>
    </w:p>
    <w:p>
      <w:r>
        <w:rPr>
          <w:noProof/>
        </w:rPr>
        <w:drawing>
          <wp:inline distT="0" distB="0" distL="0" distR="0">
            <wp:extent cx="4076700" cy="4457700"/>
            <wp:effectExtent l="0" t="0" r="0" b="0"/>
            <wp:docPr id="60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FBkAAGwbAAAAAAAAAAAAAAAAAAA="/>
                        </a:ext>
                      </a:extLst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44577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34 Информация о кассире</w:t>
      </w:r>
    </w:p>
    <w:p>
      <w:r/>
    </w:p>
    <w:p>
      <w:pPr>
        <w:ind w:firstLine="0"/>
      </w:pPr>
      <w:r>
        <w:t>Внесите все данные и нажмите кнопку «Сохранить».</w:t>
      </w:r>
    </w:p>
    <w:p>
      <w:pPr>
        <w:ind w:firstLine="0"/>
      </w:pPr>
      <w:r>
        <w:t xml:space="preserve">Чтобы отредактировать кассира, щёлкните по записи кассира. Чтобы удалить запись о кассире нажмите </w:t>
      </w:r>
      <w:r>
        <w:rPr>
          <w:noProof/>
        </w:rPr>
        <w:drawing>
          <wp:inline distT="0" distB="0" distL="0" distR="0">
            <wp:extent cx="406400" cy="406400"/>
            <wp:effectExtent l="0" t="0" r="0" b="0"/>
            <wp:docPr id="61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gAIAAIACAAAAAAAAAAAAAAAAAAA="/>
                        </a:ext>
                      </a:extLst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br w:type="page"/>
      </w:r>
    </w:p>
    <w:p>
      <w:pPr>
        <w:pStyle w:val="para2"/>
      </w:pPr>
      <w:r>
        <w:t>Настройка связи с ОФД</w:t>
      </w:r>
    </w:p>
    <w:p>
      <w:pPr>
        <w:ind w:firstLine="0"/>
        <w:rPr>
          <w:rFonts w:eastAsia="Lucida Sans Unicode" w:cs="Tahoma"/>
          <w:szCs w:val="24"/>
        </w:rPr>
      </w:pPr>
      <w:r>
        <w:t xml:space="preserve">Чтобы взывать настройки связи с ОФД,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62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доступа. </w:t>
      </w:r>
      <w:r>
        <w:rPr>
          <w:rFonts w:eastAsia="Lucida Sans Unicode" w:cs="Tahoma"/>
          <w:szCs w:val="24"/>
        </w:rPr>
        <w:t>Укажите ИНН ОФД.</w:t>
      </w:r>
      <w:r>
        <w:rPr>
          <w:rFonts w:eastAsia="Lucida Sans Unicode" w:cs="Tahoma"/>
          <w:szCs w:val="24"/>
        </w:rPr>
      </w:r>
    </w:p>
    <w:p>
      <w:pPr>
        <w:pStyle w:val="para6"/>
      </w:pPr>
      <w:r>
        <w:t>Также укажите:</w:t>
      </w:r>
    </w:p>
    <w:p>
      <w:pPr>
        <w:pStyle w:val="para6"/>
        <w:numPr>
          <w:ilvl w:val="0"/>
          <w:numId w:val="2"/>
        </w:numPr>
        <w:ind w:left="1570" w:hanging="360"/>
        <w:tabs>
          <w:tab w:val="left" w:pos="0" w:leader="none"/>
        </w:tabs>
      </w:pPr>
      <w:r>
        <w:t xml:space="preserve">Адрес – </w:t>
      </w:r>
      <w:r>
        <w:rPr>
          <w:lang w:val="en-us"/>
        </w:rPr>
        <w:t>ulr</w:t>
      </w:r>
      <w:r>
        <w:t xml:space="preserve">-адрес ОФД. Например </w:t>
      </w:r>
      <w:r>
        <w:rPr>
          <w:lang w:val="en-us"/>
        </w:rPr>
        <w:t>taxcom</w:t>
      </w:r>
      <w:r>
        <w:t>.</w:t>
      </w:r>
      <w:r>
        <w:rPr>
          <w:lang w:val="en-us"/>
        </w:rPr>
        <w:t>ru</w:t>
      </w:r>
      <w:r>
        <w:t xml:space="preserve"> или </w:t>
      </w:r>
      <w:r>
        <w:rPr>
          <w:lang w:val="en-us"/>
        </w:rPr>
        <w:t>IP</w:t>
      </w:r>
      <w:r>
        <w:t>-адрес ОФД;</w:t>
      </w:r>
    </w:p>
    <w:p>
      <w:pPr>
        <w:pStyle w:val="para6"/>
        <w:numPr>
          <w:ilvl w:val="0"/>
          <w:numId w:val="2"/>
        </w:numPr>
        <w:ind w:left="1570" w:hanging="360"/>
        <w:tabs>
          <w:tab w:val="left" w:pos="0" w:leader="none"/>
        </w:tabs>
      </w:pPr>
      <w:r>
        <w:t>Порт – порт, по которому осуществляется обмен в ОФД (например, 8080)</w:t>
      </w:r>
    </w:p>
    <w:p>
      <w:pPr>
        <w:pStyle w:val="para6"/>
        <w:numPr>
          <w:ilvl w:val="0"/>
          <w:numId w:val="2"/>
        </w:numPr>
        <w:ind w:left="1570" w:hanging="360"/>
        <w:tabs>
          <w:tab w:val="left" w:pos="0" w:leader="none"/>
        </w:tabs>
      </w:pPr>
      <w:r>
        <w:t>Таймаут, мс – частота опроса ФН на наличие новых документов для ОФД (например 10000 мс).</w:t>
      </w:r>
    </w:p>
    <w:p>
      <w:pPr>
        <w:pStyle w:val="para6"/>
      </w:pPr>
      <w:r>
        <w:t>Аналогичные настройки указываются для Оператора информационных систем маркировки (Сервер ОИСМ) и автоматизированной системы обновления ключей проверки (Сервер ОКП).</w:t>
      </w:r>
    </w:p>
    <w:p>
      <w:pPr>
        <w:ind w:firstLine="0"/>
      </w:pPr>
      <w:r>
        <w:rPr>
          <w:noProof/>
        </w:rPr>
        <w:drawing>
          <wp:inline distT="0" distB="0" distL="0" distR="0">
            <wp:extent cx="3190875" cy="4533900"/>
            <wp:effectExtent l="0" t="0" r="0" b="0"/>
            <wp:docPr id="63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oRMAAOQbAAAAAAAAAAAAAAAAAAA="/>
                        </a:ext>
                      </a:extLst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45339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35 Настройки связи с ОФД</w:t>
      </w:r>
    </w:p>
    <w:p>
      <w:pPr>
        <w:pStyle w:val="para2"/>
      </w:pPr>
      <w:r>
        <w:t>Настройка даты и времени</w:t>
      </w:r>
    </w:p>
    <w:p>
      <w:r>
        <w:t xml:space="preserve">Чтобы установить дату и время в ККТ, нажмите кнопку </w:t>
      </w:r>
      <w:r>
        <w:rPr>
          <w:noProof/>
        </w:rPr>
        <w:drawing>
          <wp:inline distT="0" distB="0" distL="0" distR="0">
            <wp:extent cx="812800" cy="812800"/>
            <wp:effectExtent l="0" t="0" r="0" b="0"/>
            <wp:docPr id="64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AAUAAAAFAAAAAAAAAAAAAAAAAAA="/>
                        </a:ext>
                      </a:extLst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812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>на панели быстрого доступа</w:t>
      </w:r>
    </w:p>
    <w:p>
      <w:r>
        <w:rPr>
          <w:noProof/>
        </w:rPr>
        <w:drawing>
          <wp:inline distT="0" distB="0" distL="0" distR="0">
            <wp:extent cx="3810000" cy="2857500"/>
            <wp:effectExtent l="0" t="0" r="0" b="0"/>
            <wp:docPr id="65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BcAAJQRAAAAAAAAAAAAAAAAAAA="/>
                        </a:ext>
                      </a:extLst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36  Настройка даты и времени</w:t>
      </w:r>
    </w:p>
    <w:p>
      <w:r/>
    </w:p>
    <w:p>
      <w:pPr>
        <w:pStyle w:val="para6"/>
        <w:ind w:firstLine="0"/>
        <w:tabs>
          <w:tab w:val="left" w:pos="0" w:leader="none"/>
        </w:tabs>
        <w:rPr>
          <w:i/>
          <w:szCs w:val="34"/>
        </w:rPr>
      </w:pPr>
      <w:r>
        <w:rPr>
          <w:i/>
          <w:szCs w:val="34"/>
        </w:rPr>
        <w:t xml:space="preserve">ККТ контролирует устанавливаемую дату: в случае попытки установить </w:t>
      </w:r>
      <w:r>
        <w:rPr>
          <w:i/>
        </w:rPr>
        <w:t>дату более раннюю, чем дата последнего фискального документа, для которого ФН сформировал фискальный признак</w:t>
      </w:r>
      <w:r>
        <w:rPr>
          <w:i/>
          <w:szCs w:val="34"/>
        </w:rPr>
        <w:t>, ККТ выдаёт сообщение об ошибке!</w:t>
      </w:r>
      <w:r>
        <w:rPr>
          <w:i/>
          <w:szCs w:val="34"/>
        </w:rPr>
      </w:r>
    </w:p>
    <w:p>
      <w:pPr>
        <w:pStyle w:val="para6"/>
        <w:ind w:firstLine="0"/>
        <w:tabs>
          <w:tab w:val="left" w:pos="0" w:leader="none"/>
        </w:tabs>
        <w:rPr>
          <w:i/>
          <w:szCs w:val="34"/>
        </w:rPr>
      </w:pPr>
      <w:r>
        <w:rPr>
          <w:i/>
          <w:szCs w:val="34"/>
        </w:rPr>
        <w:t>При  старте ККТ также проверяется дата ККТ и дата сбора прошивки ККТ, если дата ККТ меньше, чем дата прошивки ККТ, выдаётся сообщение об ошибке</w:t>
      </w:r>
      <w:r>
        <w:br w:type="page"/>
      </w:r>
    </w:p>
    <w:p>
      <w:pPr>
        <w:pStyle w:val="para1"/>
      </w:pPr>
      <w:r>
        <w:t>Регистрация ККТ</w:t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  <w:b/>
          <w:i/>
        </w:rPr>
      </w:pPr>
      <w:r>
        <w:rPr>
          <w:rFonts w:eastAsia="Lucida Sans Unicode"/>
        </w:rPr>
        <w:t>Пользователь может самостоятельно зарегистрировать купленную ККТ, подав в заявление о регистрации контрольно-кассовой техники на бумажном носителе в территориальный налоговый орган или в электронном виде через кабинет контрольно-кассовой техники. После подачи заявления, пользователь получает от налогового органа регистрационный номер ККТ.</w:t>
      </w:r>
      <w:r>
        <w:rPr>
          <w:rFonts w:eastAsia="Lucida Sans Unicode"/>
          <w:b/>
          <w:i/>
        </w:rPr>
      </w:r>
    </w:p>
    <w:p>
      <w:pPr>
        <w:spacing/>
        <w:jc w:val="left"/>
        <w:suppressAutoHyphens/>
        <w:hyphenationLines w:val="0"/>
        <w:tabs>
          <w:tab w:val="left" w:pos="0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  <w:b/>
          <w:bCs/>
          <w:i/>
          <w:iCs/>
        </w:rPr>
      </w:pPr>
      <w:r>
        <w:rPr>
          <w:rFonts w:eastAsia="Lucida Sans Unicode"/>
          <w:b/>
          <w:bCs/>
          <w:i/>
          <w:iCs/>
        </w:rPr>
        <w:t>Перед регистрацией ККТ настоятельно рекомендуется настроить  подключение к сети интернет, а также заполнить данные для обмена с ОФД.</w:t>
      </w:r>
    </w:p>
    <w:p>
      <w:pPr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Чтобы выполнить Первичную регистрацию ККТ, зайдите в меню   Служебные – Регистрация.  (При старте незарегистрированной ККТ при входе администратора ККТ по умолчанию открывается окно регистрации).</w:t>
      </w:r>
    </w:p>
    <w:p>
      <w:pPr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В качестве причины перерегистрации выберите «Первичная».</w:t>
      </w:r>
    </w:p>
    <w:p>
      <w:pPr>
        <w:pStyle w:val="para7"/>
        <w:rPr>
          <w:rFonts w:cs="Times New Roman"/>
          <w:szCs w:val="28"/>
        </w:rPr>
      </w:pPr>
      <w:r>
        <w:rPr>
          <w:rFonts w:ascii="Times New Roman" w:hAnsi="Times New Roman" w:cs="Times New Roman"/>
          <w:szCs w:val="34"/>
        </w:rPr>
        <w:t>Далее заполните:</w:t>
      </w:r>
      <w:r>
        <w:rPr>
          <w:rFonts w:cs="Times New Roman"/>
          <w:szCs w:val="28"/>
        </w:rPr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Наименование пользователя ККТ;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ИНН пользователя;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Адрес расчетов – адрес места применения ККТ;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Место расчетов – наименование места применения ККТ.</w:t>
      </w:r>
    </w:p>
    <w:p>
      <w:pPr>
        <w:numPr>
          <w:ilvl w:val="0"/>
          <w:numId w:val="2"/>
        </w:numPr>
        <w:ind w:left="1570" w:hanging="360"/>
        <w:spacing/>
        <w:jc w:val="left"/>
        <w:suppressAutoHyphens/>
        <w:hyphenationLines w:val="0"/>
        <w:tabs>
          <w:tab w:val="left" w:pos="0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  <w:b/>
        </w:rPr>
      </w:pPr>
      <w:r>
        <w:rPr>
          <w:rFonts w:eastAsia="Lucida Sans Unicode"/>
        </w:rPr>
        <w:t>Регистрационный номер ККТ</w:t>
      </w:r>
      <w:r>
        <w:rPr>
          <w:rFonts w:eastAsia="Lucida Sans Unicode"/>
          <w:b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  <w:b/>
        </w:rPr>
      </w:pPr>
      <w:r>
        <w:rPr>
          <w:rFonts w:eastAsia="Lucida Sans Unicode"/>
          <w:b/>
        </w:rPr>
        <w:t>ВНИМАНИЕ: Перед выполнением процедуры регистрации ККТ контролирует ввод регистрационного номера ККТ по контрольному числу, в случае неверного ввода регистрационного номера выдаётся сообщение об ошибке!</w:t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 xml:space="preserve">укажите, при наличии, флаги особенности применения ККТ – если ККТ применяется в автономном режиме,  если при обмене ККТ и ОФД используется шифрование, </w:t>
      </w:r>
      <w:r>
        <w:rPr>
          <w:rFonts w:eastAsia="Lucida Sans Unicode"/>
          <w:b/>
          <w:bCs/>
          <w:i/>
          <w:iCs/>
        </w:rPr>
        <w:t xml:space="preserve">флаг В автомате выставляется всегда автоматически; </w:t>
      </w:r>
      <w:r>
        <w:rPr>
          <w:rFonts w:eastAsia="Lucida Sans Unicode"/>
        </w:rPr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укажите ИНН используемого ОФД;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укажите наименование используемого ОФД;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укажите электронный адрес отправителя чеков (нужен при отправке электронных чеков на электронную почту покупателя);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обязательно укажите номер автомата, в котором установлена ККТ;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ИНН персоны, выполняющей регистрацию;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должность и фамилию персоны, выполняющей регистрацию;</w:t>
      </w:r>
    </w:p>
    <w:p>
      <w:pPr>
        <w:numPr>
          <w:ilvl w:val="0"/>
          <w:numId w:val="2"/>
        </w:numPr>
        <w:ind w:left="1429" w:hanging="360"/>
        <w:spacing/>
        <w:jc w:val="left"/>
        <w:suppressAutoHyphens/>
        <w:hyphenationLines w:val="0"/>
        <w:tabs>
          <w:tab w:val="left" w:pos="0" w:leader="none"/>
          <w:tab w:val="left" w:pos="1429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>
        <w:rPr>
          <w:rFonts w:eastAsia="Lucida Sans Unicode"/>
        </w:rPr>
        <w:t>укажите применяемые системы налогообложения</w:t>
      </w:r>
    </w:p>
    <w:p>
      <w:pPr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/>
        </w:rPr>
      </w:pPr>
      <w:r/>
      <w:r>
        <w:rPr>
          <w:noProof/>
        </w:rPr>
        <w:drawing>
          <wp:inline distT="0" distB="0" distL="0" distR="0">
            <wp:extent cx="5670550" cy="5097145"/>
            <wp:effectExtent l="0" t="0" r="0" b="0"/>
            <wp:docPr id="66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FsfAAAAAAAAAAAAAAAAAAA="/>
                        </a:ext>
                      </a:extLst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509714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Lucida Sans Unicode"/>
        </w:rPr>
      </w:r>
    </w:p>
    <w:p>
      <w:pPr>
        <w:pStyle w:val="para5"/>
      </w:pPr>
      <w:r>
        <w:t>Рисунок 37 Окно регистрации ККТ</w:t>
      </w:r>
    </w:p>
    <w:p>
      <w:pPr>
        <w:tabs>
          <w:tab w:val="left" w:pos="1984" w:leader="none"/>
        </w:tabs>
        <w:rPr>
          <w:i/>
          <w:iCs/>
        </w:rPr>
      </w:pPr>
      <w:r>
        <w:t xml:space="preserve">Далее перейдите на вкладку Дополнительные данные, отметьте галочками особенности применения ККТ. </w:t>
      </w:r>
      <w:r>
        <w:rPr>
          <w:i/>
          <w:iCs/>
        </w:rPr>
        <w:t>ККТ использует принтер, установленный в автомате, флаг Принтер в автомате выставляется автоматически.</w:t>
      </w:r>
      <w:r>
        <w:rPr>
          <w:i/>
          <w:iCs/>
        </w:rPr>
      </w:r>
    </w:p>
    <w:p>
      <w:pPr>
        <w:tabs>
          <w:tab w:val="left" w:pos="1984" w:leader="none"/>
        </w:tabs>
      </w:pPr>
      <w:r/>
    </w:p>
    <w:p>
      <w:pPr>
        <w:tabs>
          <w:tab w:val="left" w:pos="1984" w:leader="none"/>
        </w:tabs>
      </w:pPr>
      <w:r>
        <w:rPr>
          <w:noProof/>
        </w:rPr>
        <w:drawing>
          <wp:inline distT="0" distB="0" distL="0" distR="0">
            <wp:extent cx="5670550" cy="5097145"/>
            <wp:effectExtent l="0" t="0" r="0" b="0"/>
            <wp:docPr id="6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FsfAAAAAAAAAAAAAAAAAAA="/>
                        </a:ext>
                      </a:extLst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509714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38 Регистрация ККТ. Дополнительные данные</w:t>
      </w:r>
      <w:r>
        <w:br w:type="page"/>
      </w:r>
    </w:p>
    <w:p>
      <w:pPr>
        <w:ind w:firstLine="0"/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Перерегистрация ККТ без замены ФН осуществляется в следующих случаях:</w:t>
      </w:r>
    </w:p>
    <w:p>
      <w:pPr>
        <w:ind w:firstLine="0"/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 w:cs="Tahoma"/>
          <w:color w:val="222222"/>
        </w:rPr>
      </w:pPr>
      <w:r>
        <w:rPr>
          <w:color w:val="222222"/>
        </w:rPr>
        <w:t>- смена ОФД,</w:t>
      </w:r>
      <w:r>
        <w:rPr>
          <w:rFonts w:eastAsia="Lucida Sans Unicode" w:cs="Tahoma"/>
          <w:color w:val="222222"/>
        </w:rPr>
      </w:r>
    </w:p>
    <w:p>
      <w:pPr>
        <w:pStyle w:val="para8"/>
        <w:spacing w:before="112"/>
        <w:jc w:val="both"/>
        <w:rPr>
          <w:color w:val="222222"/>
          <w:szCs w:val="28"/>
        </w:rPr>
      </w:pPr>
      <w:r>
        <w:rPr>
          <w:color w:val="222222"/>
          <w:sz w:val="28"/>
          <w:szCs w:val="28"/>
        </w:rPr>
        <w:t xml:space="preserve">- изменение наименования пользователя контрольно-кассовой техники, </w:t>
      </w:r>
      <w:r>
        <w:rPr>
          <w:color w:val="222222"/>
          <w:szCs w:val="28"/>
        </w:rPr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изменение адреса и (или) места установки (применения) ККТ,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автономного режима в режим передачи данных,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 передачи данных в автономный режим,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изменение перечня систем налогообложения, применяемых при осуществлении расчетов;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изменение номера автоматического устройства для расчетов, в составе которого применяется ККТ,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автоматического режима в неавтоматический режим (осуществление расчетов кассиром),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неавтоматического режима (осуществление расчетов кассиром) в автоматический режим,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-перевод ККТ из режима, не позволяющего формировать БСО, в режим, позволяющий формировать БСО,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режима, позволяющего формировать БСО, в режим, не позволяющий формировать БСО,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 расчетов в сети Интернет (позволяющего не печатать кассовый чек и БСО) в режим, позволяющий печатать кассовый чек и БСО,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режима, позволяющего печатать кассовый чек и БСО, в режим расчетов в сети Интернет (позволяющего не печатать кассовый чек и БСО),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режима, позволяющего применять ККТ при приеме ставок и выплате денежных средств в виде выигрыша при осуществлении деятельности по проведению азартных игр, в режим, не позволяющий применять ККТ при приеме ставок и выплате денежных средств в виде выигрыша при осуществлении деятельности по проведению азартных игр,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режима, не позволяющего применять ККТ при приеме ставок и выплате денежных средств в виде выигрыша при осуществлении деятельности по проведению азартных игр, в режим, позволяющий применять ККТ при приеме ставок и выплате денежных средств в виде выигрыша при осуществлении деятельности по проведению азартных игр,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режима, позволяющего применять ККТ при приеме денежных средств при реализации лотерейных билетов, электронных лотерейных билетов, приеме лотерейных ставок и выплате денежных средств в виде выигрыша при осуществлении деятельности по проведению лотерей, в режим, не позволяющий применять ККТ при приеме денежных средств при реализации лотерейных билетов, электронных лотерейных билетов, приеме лотерейных ставок и выплате денежных средств в виде выигрыша при осуществлении деятельности по проведению лотерей,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перевод ККТ из режима, не позволяющего применять ККТ при приеме денежных средств при реализации лотерейных билетов, электронных лотерейных билетов, приеме лотерейных ставок и выплате денежных средств в виде выигрыша при осуществлении деятельности по проведению лотерей, в режим, позволяющий применять ККТ при приеме денежных средств при реализации лотерейных билетов, электронных лотерейных билетов, приеме лотерейных ставок и выплате денежных средств в виде выигрыша при осуществлении деятельности по проведению лотерей,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  <w:t>- изменение версии модели ККТ*.</w:t>
      </w:r>
    </w:p>
    <w:p>
      <w:pPr>
        <w:ind w:firstLine="0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color w:val="222222"/>
        </w:rPr>
      </w:pPr>
      <w:r>
        <w:rPr>
          <w:color w:val="222222"/>
        </w:rPr>
      </w:r>
    </w:p>
    <w:p>
      <w:pPr>
        <w:rPr>
          <w:i/>
        </w:rPr>
      </w:pPr>
      <w:r>
        <w:rPr>
          <w:b/>
          <w:i/>
          <w:color w:val="222222"/>
        </w:rPr>
        <w:t>*Примечание</w:t>
      </w:r>
      <w:r>
        <w:rPr>
          <w:color w:val="222222"/>
        </w:rPr>
        <w:t xml:space="preserve"> -  </w:t>
      </w:r>
      <w:r>
        <w:rPr>
          <w:i/>
          <w:color w:val="222222"/>
        </w:rPr>
        <w:t xml:space="preserve">перерегистрации при изменении версии модели ККТ </w:t>
      </w:r>
      <w:r>
        <w:rPr>
          <w:i/>
        </w:rPr>
        <w:t>должны предшествовать процедуры включения в Реестр моделей ККТ новой версии данной модели ККТ и переустановка в конкретный образец ККТ изготовителем модели ККТ (или его уполномоченным лицом) нового ПО ККТ, соответствующего новой версии модели ККТ.</w:t>
      </w:r>
      <w:r>
        <w:rPr>
          <w:i/>
        </w:rPr>
      </w:r>
    </w:p>
    <w:p>
      <w:r>
        <w:rPr>
          <w:noProof/>
        </w:rPr>
        <w:drawing>
          <wp:inline distT="0" distB="0" distL="0" distR="0">
            <wp:extent cx="5670550" cy="5097145"/>
            <wp:effectExtent l="0" t="0" r="0" b="0"/>
            <wp:docPr id="68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4iIAAFsfAAAAAAAAAAAAAAAAAAA="/>
                        </a:ext>
                      </a:extLst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509714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39 Прчины перерегистрации ККТ</w:t>
      </w:r>
    </w:p>
    <w:p>
      <w:r>
        <w:t xml:space="preserve"> </w:t>
      </w:r>
      <w:r>
        <w:rPr>
          <w:noProof/>
        </w:rPr>
        <w:drawing>
          <wp:inline distT="0" distB="0" distL="0" distR="0">
            <wp:extent cx="2119630" cy="7933690"/>
            <wp:effectExtent l="0" t="0" r="0" b="0"/>
            <wp:docPr id="69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oNAADOMAAACg0AAM4w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g0AAM4wAAAAAAAAAAAAAAAAAAA="/>
                        </a:ext>
                      </a:extLst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119630" cy="793369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40 Отчёт о перерегистрации</w:t>
      </w:r>
      <w:r>
        <w:br w:type="page"/>
      </w:r>
    </w:p>
    <w:p>
      <w:pPr>
        <w:pStyle w:val="para1"/>
      </w:pPr>
      <w:r>
        <w:rPr>
          <w:rFonts w:eastAsia="Microsoft YaHei"/>
          <w:szCs w:val="32"/>
        </w:rPr>
        <w:t>Перерегистрация ККТ в связи с заменой ФН</w:t>
      </w:r>
      <w:r/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 w:cs="Tahoma"/>
          <w:szCs w:val="24"/>
        </w:rPr>
      </w:pPr>
      <w:r>
        <w:t>Замена ФН – процедура, определяющая начало функционирования нового ФН в составе ККТ.</w:t>
      </w:r>
      <w:r>
        <w:rPr>
          <w:rFonts w:eastAsia="Lucida Sans Unicode" w:cs="Tahoma"/>
          <w:szCs w:val="24"/>
        </w:rPr>
      </w:r>
    </w:p>
    <w:p>
      <w:pPr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 w:cs="Tahoma"/>
          <w:szCs w:val="24"/>
        </w:rPr>
      </w:pPr>
      <w:r>
        <w:rPr>
          <w:rFonts w:eastAsia="Lucida Sans Unicode" w:cs="Tahoma"/>
          <w:szCs w:val="24"/>
        </w:rPr>
        <w:t>Замена ФН производится в следующих случаях:</w:t>
      </w:r>
    </w:p>
    <w:p>
      <w:pPr>
        <w:numPr>
          <w:ilvl w:val="0"/>
          <w:numId w:val="3"/>
        </w:numPr>
        <w:ind w:left="1429" w:hanging="360"/>
        <w:suppressAutoHyphens/>
        <w:hyphenationLines w:val="0"/>
        <w:tabs>
          <w:tab w:val="left" w:pos="0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Lucida Sans Unicode" w:cs="Tahoma"/>
          <w:szCs w:val="24"/>
        </w:rPr>
      </w:pPr>
      <w:r>
        <w:rPr>
          <w:rFonts w:eastAsia="Lucida Sans Unicode" w:cs="Tahoma"/>
          <w:szCs w:val="24"/>
        </w:rPr>
        <w:t>память ФН заполнена;</w:t>
      </w:r>
    </w:p>
    <w:p>
      <w:pPr>
        <w:numPr>
          <w:ilvl w:val="0"/>
          <w:numId w:val="3"/>
        </w:numPr>
        <w:ind w:left="1429" w:hanging="360"/>
        <w:suppressAutoHyphens/>
        <w:hyphenationLines w:val="0"/>
        <w:tabs>
          <w:tab w:val="left" w:pos="0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rPr>
          <w:rFonts w:eastAsia="Lucida Sans Unicode" w:cs="Tahoma"/>
          <w:szCs w:val="24"/>
        </w:rPr>
        <w:t>истек срок эксплуатации ФН;</w:t>
      </w:r>
      <w:r/>
    </w:p>
    <w:p>
      <w:pPr>
        <w:numPr>
          <w:ilvl w:val="0"/>
          <w:numId w:val="3"/>
        </w:numPr>
        <w:ind w:left="1429" w:hanging="360"/>
        <w:suppressAutoHyphens/>
        <w:hyphenationLines w:val="0"/>
        <w:tabs>
          <w:tab w:val="left" w:pos="0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t>неисправность или авария</w:t>
      </w:r>
      <w:r>
        <w:rPr>
          <w:lang w:val="en-us"/>
        </w:rPr>
        <w:t xml:space="preserve">  ФН.</w:t>
      </w:r>
      <w:r/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t>Индикацией необходимости замены ФН является печать  на чековой ленте одного из следующих сообщений:</w:t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t>РЕСУРС ФН МЕНЕЕ</w:t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t>30 ДНЕЙ</w:t>
      </w:r>
      <w:r>
        <w:rPr>
          <w:sz w:val="21"/>
          <w:szCs w:val="21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rPr>
          <w:sz w:val="21"/>
          <w:szCs w:val="21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t>РЕСУРС ФН МЕНЕЕ 3</w:t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t>ДНЕЙ</w:t>
      </w:r>
      <w:r>
        <w:rPr>
          <w:sz w:val="21"/>
          <w:szCs w:val="21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rPr>
          <w:sz w:val="21"/>
          <w:szCs w:val="21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t>ПАМЯТЬ ФН</w:t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t>ЗАПОЛНЕНА</w:t>
      </w:r>
      <w:r>
        <w:rPr>
          <w:sz w:val="21"/>
          <w:szCs w:val="21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rPr>
          <w:sz w:val="21"/>
          <w:szCs w:val="21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1"/>
          <w:szCs w:val="21"/>
        </w:rPr>
      </w:pPr>
      <w:r>
        <w:t>ОШИБКА ФН</w:t>
      </w:r>
      <w:r>
        <w:rPr>
          <w:sz w:val="21"/>
          <w:szCs w:val="21"/>
        </w:rPr>
      </w:r>
    </w:p>
    <w:p>
      <w:pPr>
        <w:pStyle w:val="para9"/>
        <w:ind w:firstLine="709"/>
        <w:spacing w:line="360" w:lineRule="auto"/>
        <w:rPr>
          <w:rFonts w:eastAsia="Times New Roman" w:cs="Times New Roman"/>
          <w:sz w:val="21"/>
          <w:szCs w:val="21"/>
        </w:rPr>
      </w:pPr>
      <w:r>
        <w:rPr>
          <w:rFonts w:eastAsia="Times New Roman" w:cs="Times New Roman"/>
          <w:sz w:val="21"/>
          <w:szCs w:val="21"/>
        </w:rPr>
      </w:r>
    </w:p>
    <w:p>
      <w:pPr>
        <w:pStyle w:val="para9"/>
        <w:ind w:firstLine="709"/>
        <w:spacing w:line="360" w:lineRule="auto"/>
        <w:rPr>
          <w:rFonts w:eastAsia="Times New Roman" w:cs="Times New Roman"/>
          <w:b w:val="0"/>
          <w:sz w:val="28"/>
          <w:szCs w:val="28"/>
        </w:rPr>
      </w:pPr>
      <w:r>
        <w:rPr>
          <w:rFonts w:eastAsia="Times New Roman" w:cs="Times New Roman"/>
          <w:b w:val="0"/>
          <w:sz w:val="28"/>
          <w:szCs w:val="28"/>
        </w:rPr>
        <w:t>ЗАКОНЧЕН СРОК ЭКСПЛУАТ ФН</w:t>
      </w:r>
    </w:p>
    <w:p>
      <w:pPr>
        <w:pStyle w:val="para9"/>
        <w:ind w:firstLine="709"/>
        <w:spacing w:line="360" w:lineRule="auto"/>
        <w:jc w:val="left"/>
        <w:rPr>
          <w:rFonts w:eastAsia="Times New Roman" w:cs="Times New Roman"/>
          <w:b w:val="0"/>
          <w:sz w:val="28"/>
          <w:szCs w:val="28"/>
        </w:rPr>
      </w:pPr>
      <w:r>
        <w:rPr>
          <w:rFonts w:eastAsia="Times New Roman" w:cs="Times New Roman"/>
          <w:b w:val="0"/>
          <w:sz w:val="28"/>
          <w:szCs w:val="28"/>
        </w:rPr>
      </w:r>
    </w:p>
    <w:p>
      <w:pPr>
        <w:spacing/>
        <w:jc w:val="left"/>
        <w:suppressAutoHyphens/>
        <w:hyphenationLines w:val="0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</w:pPr>
      <w:r>
        <w:t>Перед тем, как выполнять замену ФН, необходимо провести операцию закрытия ФН.</w:t>
      </w:r>
    </w:p>
    <w:p>
      <w:pPr>
        <w:suppressAutoHyphens/>
        <w:hyphenationLines w:val="0"/>
        <w:tabs>
          <w:tab w:val="left" w:pos="720" w:leader="none"/>
          <w:tab w:val="left" w:pos="864" w:leader="none"/>
          <w:tab w:val="left" w:pos="2880" w:leader="none"/>
          <w:tab w:val="left" w:pos="8640" w:leader="none"/>
          <w:tab w:val="left" w:pos="29541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Microsoft YaHei"/>
          <w:b/>
          <w:szCs w:val="32"/>
        </w:rPr>
      </w:pPr>
      <w:r>
        <w:t>Выполнить перерегистрацию, выбрав причину перерегистрации “Замена ФН”.</w:t>
      </w:r>
      <w:bookmarkStart w:id="1" w:name="_toc842"/>
      <w:bookmarkEnd w:id="1"/>
      <w:r/>
      <w:bookmarkStart w:id="2" w:name="__RefHeading__2170_647448726"/>
      <w:bookmarkEnd w:id="2"/>
      <w:r/>
      <w:r>
        <w:rPr>
          <w:rFonts w:eastAsia="Microsoft YaHei"/>
          <w:b/>
          <w:szCs w:val="32"/>
        </w:rPr>
      </w:r>
      <w:r>
        <w:br w:type="page"/>
      </w:r>
    </w:p>
    <w:p>
      <w:pPr>
        <w:pStyle w:val="para1"/>
      </w:pPr>
      <w:r>
        <w:t>Закрытие ФН</w:t>
      </w:r>
    </w:p>
    <w:p>
      <w:pPr>
        <w:pStyle w:val="para6"/>
        <w:ind w:left="850" w:firstLine="0"/>
      </w:pPr>
      <w:r>
        <w:t xml:space="preserve">Закрытие ФН происходит в момент: </w:t>
      </w:r>
    </w:p>
    <w:p>
      <w:pPr>
        <w:pStyle w:val="para6"/>
        <w:ind w:left="850" w:firstLine="0"/>
      </w:pPr>
      <w:r>
        <w:t>- формирования и печати Отчета о закрытии ФН (в ККТ, работающей в режиме «без передачи ФД через ОФД»);</w:t>
      </w:r>
    </w:p>
    <w:p>
      <w:pPr>
        <w:pStyle w:val="para6"/>
        <w:ind w:left="57" w:firstLine="793"/>
        <w:rPr>
          <w:rFonts w:eastAsia="Times New Roman" w:cs="Times New Roman"/>
          <w:szCs w:val="28"/>
        </w:rPr>
      </w:pPr>
      <w:r>
        <w:t xml:space="preserve">- получения в ФН подтверждения ОФД о получении Отчета о закрытии </w:t>
      </w:r>
      <w:r>
        <w:rPr>
          <w:rFonts w:eastAsia="Times New Roman" w:cs="Times New Roman"/>
          <w:szCs w:val="28"/>
        </w:rPr>
        <w:t>ФН (в ККТ, работающей в режиме «передачи ФД через ОФД»).</w:t>
      </w:r>
      <w:r>
        <w:rPr>
          <w:rFonts w:eastAsia="Times New Roman" w:cs="Times New Roman"/>
          <w:szCs w:val="28"/>
        </w:rPr>
      </w:r>
    </w:p>
    <w:p>
      <w:pPr>
        <w:pStyle w:val="para6"/>
        <w:ind w:left="57" w:firstLine="793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Закрытие ФН возможно только после проведения очередного закрытия смены при отсутствии документов без подтверждения от ОФД.</w:t>
      </w:r>
    </w:p>
    <w:p>
      <w:pPr>
        <w:pStyle w:val="para6"/>
        <w:ind w:left="57" w:firstLine="793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ВНИМАНИЕ: ЗАКРЫТИЕ ФН – НЕОБРАТИМЫЙ ПРОЦЕСС, ВЛЕКУЩИЙ ЗА СОБОЙ БЕЗУСЛОВНУЮ ЗАМЕНУ ФН НА НОВЫЙ! (За исключением случая снятия ККТ с регистрации в налоговом органе).</w:t>
      </w:r>
    </w:p>
    <w:p>
      <w:pPr>
        <w:pStyle w:val="para6"/>
        <w:ind w:left="57" w:firstLine="793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 xml:space="preserve">Закрытие ФН на ККТ осуществляется из меню Служебные – Закрытие архива или по кнопке </w:t>
      </w:r>
      <w:r/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70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Times New Roman" w:cs="Times New Roman"/>
          <w:szCs w:val="28"/>
        </w:rPr>
        <w:t xml:space="preserve"> на панели быстрого доступа (доступно только при закрытой смене ККТ).</w:t>
      </w:r>
      <w:r>
        <w:rPr>
          <w:rFonts w:eastAsia="Times New Roman" w:cs="Times New Roman"/>
          <w:szCs w:val="28"/>
        </w:rPr>
      </w:r>
    </w:p>
    <w:p>
      <w:pPr>
        <w:pStyle w:val="para6"/>
        <w:ind w:left="57" w:firstLine="793"/>
        <w:rPr>
          <w:rFonts w:eastAsia="Times New Roman" w:cs="Times New Roman"/>
          <w:szCs w:val="28"/>
        </w:rPr>
      </w:pPr>
      <w:r/>
      <w:r>
        <w:rPr>
          <w:noProof/>
        </w:rPr>
        <w:drawing>
          <wp:inline distT="0" distB="0" distL="0" distR="0">
            <wp:extent cx="3810000" cy="4410075"/>
            <wp:effectExtent l="0" t="0" r="0" b="0"/>
            <wp:docPr id="71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BcAACEbAAAAAAAAAAAAAAAAAAA="/>
                        </a:ext>
                      </a:extLst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4100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  <w:r>
        <w:rPr>
          <w:rFonts w:eastAsia="Times New Roman" w:cs="Times New Roman"/>
          <w:szCs w:val="28"/>
        </w:rPr>
      </w:r>
    </w:p>
    <w:p>
      <w:pPr>
        <w:pStyle w:val="para5"/>
      </w:pPr>
      <w:r>
        <w:t>Рисунок 41 Окно закрытия ФН</w:t>
      </w:r>
    </w:p>
    <w:p>
      <w:r/>
    </w:p>
    <w:p>
      <w:r>
        <w:rPr>
          <w:noProof/>
        </w:rPr>
        <w:drawing>
          <wp:inline distT="0" distB="0" distL="0" distR="0">
            <wp:extent cx="1411605" cy="3057525"/>
            <wp:effectExtent l="0" t="0" r="0" b="0"/>
            <wp:docPr id="72" name="Рисунок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735"/>
                    <pic:cNvPicPr>
                      <a:extLst>
                        <a:ext uri="smNativeData">
                          <sm:smNativeData xmlns:sm="smNativeData" val="SMDATA_16_/Pt1aBMAAAAlAAAAEQAAAA0AAAAAAAAAAAAAAAAAAAAAAAAAAAAAAAAAAAAAAAAAAAEAAABQAAAAAAAAAAAA4D8AAAAAAADgPwAAAAAAAOA/AAAAAAAA4D8AAAAAAADgPwAAAAAAAOA/AAAAAAAA4D8AAAAAAADgPwAAAAAAAOA/AAAAAAAA4D8CAAAAjAAAAAEAAAAAAAAA////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rwgAAM8SAAAAAAAAAAAAAAAAAAA="/>
                        </a:ext>
                      </a:extLst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3057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42 Отчёт о закрытии ФН</w:t>
      </w:r>
      <w:r>
        <w:br w:type="page"/>
      </w:r>
    </w:p>
    <w:p>
      <w:pPr>
        <w:pStyle w:val="para1"/>
      </w:pPr>
      <w:r>
        <w:t>Очистка ФН-М</w:t>
      </w:r>
    </w:p>
    <w:p>
      <w:pPr>
        <w:pStyle w:val="para6"/>
      </w:pPr>
      <w:r>
        <w:t>В случае применения в тестовых целях функциональные макеты ФН (ФН-М), в ККТ предусмотрена возможность очистки ФН-М.</w:t>
      </w:r>
    </w:p>
    <w:p>
      <w:pPr>
        <w:pStyle w:val="para6"/>
      </w:pPr>
      <w:r>
        <w:t>Чтобы очистить  ФН-М, зайдите в  меню Служебные – Очистить ФН-М.</w:t>
      </w:r>
    </w:p>
    <w:p>
      <w:pPr>
        <w:pStyle w:val="para6"/>
        <w:spacing/>
        <w:jc w:val="center"/>
      </w:pPr>
      <w:r/>
    </w:p>
    <w:p>
      <w:pPr>
        <w:pStyle w:val="para6"/>
        <w:spacing/>
        <w:jc w:val="left"/>
        <w:rPr>
          <w:b/>
          <w:i/>
        </w:rPr>
      </w:pPr>
      <w:r>
        <w:rPr>
          <w:b/>
          <w:i/>
        </w:rPr>
        <w:t>ВНИМАНИЕ: функция меню доступна,  только если в ККТ установлен  ФН-М</w:t>
      </w:r>
    </w:p>
    <w:p>
      <w:pPr>
        <w:pStyle w:val="para6"/>
        <w:spacing/>
        <w:jc w:val="center"/>
        <w:rPr>
          <w:b/>
          <w:i/>
        </w:rPr>
      </w:pPr>
      <w:r>
        <w:rPr>
          <w:b/>
          <w:i/>
        </w:rPr>
      </w:r>
    </w:p>
    <w:p>
      <w:pPr>
        <w:pStyle w:val="para6"/>
        <w:spacing/>
        <w:jc w:val="left"/>
      </w:pPr>
      <w:r>
        <w:t>Чтобы очистить Фн-М, нажмите кнопку  Почистить, вся информация в ФН-М  будет полностью стёрта. Для дальнейшего применения ФН-М , нужно будет вновь регистрировать ККТ.</w:t>
      </w:r>
      <w:r>
        <w:br w:type="page"/>
      </w:r>
    </w:p>
    <w:p>
      <w:pPr>
        <w:pStyle w:val="para1"/>
      </w:pPr>
      <w:r>
        <w:t>Отправка логов</w:t>
      </w:r>
    </w:p>
    <w:p>
      <w:pPr>
        <w:pStyle w:val="para6"/>
        <w:spacing/>
        <w:jc w:val="left"/>
      </w:pPr>
      <w:r>
        <w:t xml:space="preserve">Отправка логов разработчикам важна для оперативного оказания технической поддержки и дальнейшего развития приложения. Чтобы отправить логи,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73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панели быстрого доступа приложения. В откравшемся окне при необходимости введите комментарий к логам, затем нажмите кнопку </w:t>
      </w:r>
      <w:r>
        <w:rPr>
          <w:noProof/>
        </w:rPr>
        <w:drawing>
          <wp:inline distT="0" distB="0" distL="0" distR="0">
            <wp:extent cx="609600" cy="609600"/>
            <wp:effectExtent l="0" t="0" r="0" b="0"/>
            <wp:docPr id="74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wAMAAMADAAAAAAAAAAAAAAAAAAA="/>
                        </a:ext>
                      </a:extLst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дождитесь, пока логи будут отправлены.</w:t>
      </w:r>
    </w:p>
    <w:p>
      <w:pPr>
        <w:pStyle w:val="para6"/>
        <w:spacing/>
        <w:jc w:val="left"/>
      </w:pPr>
      <w:r>
        <w:rPr>
          <w:noProof/>
        </w:rPr>
        <w:drawing>
          <wp:inline distT="0" distB="0" distL="0" distR="0">
            <wp:extent cx="3810000" cy="2857500"/>
            <wp:effectExtent l="0" t="0" r="0" b="0"/>
            <wp:docPr id="75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BcAAJQRAAAAAAAAAAAAAAAAAAA="/>
                        </a:ext>
                      </a:extLst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43 Окно отправки логов</w:t>
      </w:r>
      <w:r>
        <w:br w:type="page"/>
      </w:r>
    </w:p>
    <w:p>
      <w:pPr>
        <w:pStyle w:val="para1"/>
      </w:pPr>
      <w:r>
        <w:t>Выгрузка уведомлений при реализации маркированного товара в автономном режиме</w:t>
      </w:r>
    </w:p>
    <w:p>
      <w:pPr>
        <w:pStyle w:val="para6"/>
      </w:pPr>
      <w:r>
        <w:t>В случае реализации маркированного товара в автономном режиме, в ККТ предусмотрена выгрузка уведомлений о продаже маркированного товара из ККТ.</w:t>
      </w:r>
    </w:p>
    <w:p>
      <w:pPr>
        <w:pStyle w:val="para6"/>
      </w:pPr>
      <w:r>
        <w:t>Для этого нажмите кнопку «Выгрузить уведомления» (</w:t>
      </w:r>
      <w:r>
        <w:rPr>
          <w:b/>
          <w:i/>
        </w:rPr>
        <w:t>доступно только если ККТ зарегистрирована для работы в автономном режиме и с флагом реализации маркированного товара – ТМТ</w:t>
      </w:r>
      <w:r>
        <w:t xml:space="preserve">), укажите место сохранения. </w:t>
      </w:r>
    </w:p>
    <w:p>
      <w:pPr>
        <w:pStyle w:val="para6"/>
      </w:pPr>
      <w:r>
        <w:t xml:space="preserve">Файл уведомлений будет сохранён в указанное место. </w:t>
      </w:r>
      <w:r>
        <w:br w:type="page"/>
      </w:r>
    </w:p>
    <w:p>
      <w:pPr>
        <w:pStyle w:val="para1"/>
      </w:pPr>
      <w:r>
        <w:t>Тестирование ККТ</w:t>
      </w:r>
    </w:p>
    <w:p>
      <w:r>
        <w:t>Тестирование проводится для получения дополнительной информации о ККТ - оставшемся объёме памяти, всех настрйоках. При тестировании также выполняется печать на подключенном к управляющему устройству принтере.</w:t>
      </w:r>
    </w:p>
    <w:p>
      <w:r>
        <w:t>Тестирование выполняется по кнопке  на панели быстрого доступа.</w:t>
      </w:r>
    </w:p>
    <w:p>
      <w:r>
        <w:rPr>
          <w:noProof/>
        </w:rPr>
        <w:drawing>
          <wp:inline distT="0" distB="0" distL="0" distR="0">
            <wp:extent cx="3810000" cy="5667375"/>
            <wp:effectExtent l="0" t="0" r="0" b="0"/>
            <wp:docPr id="76" name="Рисунок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735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cBcAAN0iAAAAAAAAAAAAAAAAAAA="/>
                        </a:ext>
                      </a:extLst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66737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44 Окно тестирования ПО</w:t>
      </w:r>
    </w:p>
    <w:p>
      <w:r>
        <w:rPr>
          <w:noProof/>
        </w:rPr>
        <w:drawing>
          <wp:inline distT="0" distB="0" distL="0" distR="0">
            <wp:extent cx="1903095" cy="3188335"/>
            <wp:effectExtent l="0" t="0" r="0" b="0"/>
            <wp:docPr id="77" name="Рисунок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736"/>
                    <pic:cNvPicPr>
                      <a:picLocks noChangeAspect="1"/>
                      <a:extLst>
                        <a:ext uri="smNativeData">
                          <sm:smNativeData xmlns:sm="smNativeData" val="SMDATA_16_/Pt1aB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LULAACdEwAAtQsAAJ0T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ByAAAAAAAAAAAAAAAAAAAAAAAAAAAAAAAAAAAAAAAAAAAAAAtQsAAJ0TAAAAAAAAAAAAAAAAAAA="/>
                        </a:ext>
                      </a:extLst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903095" cy="318833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/>
    </w:p>
    <w:p>
      <w:pPr>
        <w:pStyle w:val="para5"/>
      </w:pPr>
      <w:r>
        <w:t>Рисунок 45 Распечатанный результат тестирования</w:t>
      </w:r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decimal"/>
        <w:numStart w:val="1"/>
        <w:numRestart w:val="continuous"/>
      </w:endnotePr>
      <w:footerReference w:type="default" r:id="rId82"/>
      <w:type w:val="continuous"/>
      <w:pgSz w:h="16839" w:w="11907"/>
      <w:pgMar w:left="1134" w:top="1134" w:right="1134" w:bottom="1134" w:footer="567"/>
      <w:paperSrc w:first="0" w:other="0"/>
      <w:pgNumType w:fmt="decimal"/>
      <w:tmGutter w:val="1"/>
      <w:mirrorMargins w:val="0"/>
      <w:tmSection w:h="-1">
        <w:tmFooter w:id="0" w:h="0" edge="567" text="0">
          <w:shd w:val="none"/>
        </w:tmFooter>
      </w:tmSection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</w:font>
  <w:font w:name="SimSun">
    <w:panose1 w:val="02010600030101010101"/>
    <w:charset w:val="00"/>
    <w:family w:val="auto"/>
    <w:pitch w:val="default"/>
  </w:font>
  <w:font w:name="Arial">
    <w:panose1 w:val="020B0604020202020204"/>
    <w:charset w:val="cc"/>
    <w:family w:val="swiss"/>
    <w:pitch w:val="default"/>
  </w:font>
  <w:font w:name="Cambria">
    <w:panose1 w:val="02040503050406030204"/>
    <w:charset w:val="cc"/>
    <w:family w:val="roman"/>
    <w:pitch w:val="default"/>
  </w:font>
  <w:font w:name="Arial Black">
    <w:panose1 w:val="020B0A04020102020204"/>
    <w:charset w:val="cc"/>
    <w:family w:val="swiss"/>
    <w:pitch w:val="default"/>
  </w:font>
  <w:font w:name="Calibri">
    <w:panose1 w:val="020F0502020204030204"/>
    <w:charset w:val="cc"/>
    <w:family w:val="swiss"/>
    <w:pitch w:val="default"/>
  </w:font>
  <w:font w:name="Calibri Light">
    <w:panose1 w:val="020F0302020204030204"/>
    <w:charset w:val="cc"/>
    <w:family w:val="swiss"/>
    <w:pitch w:val="default"/>
  </w:font>
  <w:font w:name="Candara">
    <w:panose1 w:val="020E0502030303020204"/>
    <w:charset w:val="cc"/>
    <w:family w:val="swiss"/>
    <w:pitch w:val="default"/>
  </w:font>
  <w:font w:name="Gabriola">
    <w:panose1 w:val="04040605051002020D02"/>
    <w:charset w:val="cc"/>
    <w:family w:val="decorative"/>
    <w:pitch w:val="default"/>
  </w:font>
  <w:font w:name="Gentium Book Basic">
    <w:panose1 w:val="02000503060000020004"/>
    <w:charset w:val="00"/>
    <w:family w:val="auto"/>
    <w:pitch w:val="default"/>
  </w:font>
  <w:font w:name="Leelawadee UI Semilight">
    <w:panose1 w:val="020B0402040204020203"/>
    <w:charset w:val="00"/>
    <w:family w:val="swiss"/>
    <w:pitch w:val="default"/>
  </w:font>
  <w:font w:name="Microsoft Himalaya">
    <w:panose1 w:val="01010100010101010101"/>
    <w:charset w:val="00"/>
    <w:family w:val="auto"/>
    <w:pitch w:val="default"/>
  </w:font>
  <w:font w:name="Microsoft YaHei UI Light">
    <w:panose1 w:val="020B0502040204020203"/>
    <w:charset w:val="cc"/>
    <w:family w:val="swiss"/>
    <w:pitch w:val="default"/>
  </w:font>
  <w:font w:name="MingLiU_HKSCS-ExtB">
    <w:panose1 w:val="02020500000000000000"/>
    <w:charset w:val="00"/>
    <w:family w:val="roman"/>
    <w:pitch w:val="default"/>
  </w:font>
  <w:font w:name="Sitka Banner">
    <w:panose1 w:val="02000505000000020004"/>
    <w:charset w:val="cc"/>
    <w:family w:val="auto"/>
    <w:pitch w:val="default"/>
  </w:font>
  <w:font w:name="Sitka Display">
    <w:panose1 w:val="02000505000000020004"/>
    <w:charset w:val="cc"/>
    <w:family w:val="auto"/>
    <w:pitch w:val="default"/>
  </w:font>
  <w:font w:name="Sitka Heading">
    <w:panose1 w:val="02000505000000020004"/>
    <w:charset w:val="cc"/>
    <w:family w:val="auto"/>
    <w:pitch w:val="default"/>
  </w:font>
  <w:font w:name="Sitka Small">
    <w:panose1 w:val="02000505000000020004"/>
    <w:charset w:val="cc"/>
    <w:family w:val="auto"/>
    <w:pitch w:val="default"/>
  </w:font>
  <w:font w:name="Sitka Subheading">
    <w:panose1 w:val="02000505000000020004"/>
    <w:charset w:val="cc"/>
    <w:family w:val="auto"/>
    <w:pitch w:val="default"/>
  </w:font>
  <w:font w:name="Sitka Text">
    <w:panose1 w:val="02000505000000020004"/>
    <w:charset w:val="cc"/>
    <w:family w:val="auto"/>
    <w:pitch w:val="default"/>
  </w:font>
  <w:font w:name="Sylfaen">
    <w:panose1 w:val="010A0502050306030303"/>
    <w:charset w:val="cc"/>
    <w:family w:val="roman"/>
    <w:pitch w:val="default"/>
  </w:font>
  <w:font w:name="Symbol">
    <w:panose1 w:val="05050102010706020507"/>
    <w:charset w:val="02"/>
    <w:family w:val="roman"/>
    <w:pitch w:val="default"/>
  </w:font>
  <w:font w:name="Tahoma">
    <w:panose1 w:val="020B0604030504040204"/>
    <w:charset w:val="cc"/>
    <w:family w:val="swiss"/>
    <w:pitch w:val="default"/>
  </w:font>
  <w:font w:name="Wingdings">
    <w:panose1 w:val="05000000000000000000"/>
    <w:charset w:val="02"/>
    <w:family w:val="auto"/>
    <w:pitch w:val="default"/>
  </w:font>
  <w:font w:name="Lucida Sans Unicode">
    <w:panose1 w:val="020B0602030504020204"/>
    <w:charset w:val="cc"/>
    <w:family w:val="swiss"/>
    <w:pitch w:val="default"/>
  </w:font>
  <w:font w:name="Microsoft YaHei">
    <w:panose1 w:val="020B0503020204020204"/>
    <w:charset w:val="cc"/>
    <w:family w:val="swiss"/>
    <w:pitch w:val="default"/>
  </w:font>
  <w:font w:name="OpenSymbol">
    <w:panose1 w:val="05010000000000000000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para12"/>
      <w:tabs>
        <w:tab w:val="center" w:pos="4819" w:leader="none"/>
        <w:tab w:val="clear" w:pos="9639" w:leader="none"/>
      </w:tabs>
    </w:pPr>
    <w:r>
      <w:tab/>
      <w:t xml:space="preserve">Страница </w:t>
    </w:r>
    <w:r>
      <w:fldChar w:fldCharType="begin"/>
      <w:instrText xml:space="preserve"> PAGE \* Arabic </w:instrText>
      <w:fldChar w:fldCharType="separate"/>
      <w:t>1</w:t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multiLevelType w:val="hybridMultilevel"/>
    <w:tmNoNumList/>
    <w:lvl w:ilvl="0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1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2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3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4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5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6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7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8">
      <w:numFmt w:val="none"/>
      <w:lvlText w:val=""/>
      <w:lvlJc w:val="left"/>
      <w:pPr>
        <w:tabs>
          <w:tab w:val="num" w:pos="360"/>
        </w:tabs>
        <w:ind w:left="360" w:hanging="360"/>
      </w:pPr>
      <w:rPr/>
    </w:lvl>
  </w:abstractNum>
  <w:abstractNum w:abstractNumId="1">
    <w:multiLevelType w:val="hybridMultilevel"/>
    <w:name w:val="Нумерованный список 1"/>
    <w:lvl w:ilvl="0">
      <w:start w:val="1"/>
      <w:numFmt w:val="decimal"/>
      <w:suff w:val="tab"/>
      <w:lvlText w:val=" %1."/>
      <w:lvlJc w:val="left"/>
      <w:pPr>
        <w:ind w:left="0" w:hanging="0"/>
      </w:pPr>
      <w:rPr/>
    </w:lvl>
    <w:lvl w:ilvl="1">
      <w:start w:val="1"/>
      <w:numFmt w:val="none"/>
      <w:suff w:val="nothing"/>
      <w:lvlText w:val=""/>
      <w:lvlJc w:val="left"/>
      <w:pPr>
        <w:ind w:left="0" w:hanging="0"/>
      </w:pPr>
      <w:rPr/>
    </w:lvl>
    <w:lvl w:ilvl="2">
      <w:start w:val="1"/>
      <w:numFmt w:val="none"/>
      <w:suff w:val="nothing"/>
      <w:lvlText w:val=""/>
      <w:lvlJc w:val="left"/>
      <w:pPr>
        <w:ind w:left="0" w:hanging="0"/>
      </w:pPr>
      <w:rPr/>
    </w:lvl>
    <w:lvl w:ilvl="3">
      <w:start w:val="1"/>
      <w:numFmt w:val="none"/>
      <w:suff w:val="nothing"/>
      <w:lvlText w:val=""/>
      <w:lvlJc w:val="left"/>
      <w:pPr>
        <w:ind w:left="0" w:hanging="0"/>
      </w:pPr>
      <w:rPr/>
    </w:lvl>
    <w:lvl w:ilvl="4">
      <w:start w:val="1"/>
      <w:numFmt w:val="none"/>
      <w:suff w:val="nothing"/>
      <w:lvlText w:val=""/>
      <w:lvlJc w:val="left"/>
      <w:pPr>
        <w:ind w:left="0" w:hanging="0"/>
      </w:pPr>
      <w:rPr/>
    </w:lvl>
    <w:lvl w:ilvl="5">
      <w:start w:val="1"/>
      <w:numFmt w:val="none"/>
      <w:suff w:val="nothing"/>
      <w:lvlText w:val=""/>
      <w:lvlJc w:val="left"/>
      <w:pPr>
        <w:ind w:left="0" w:hanging="0"/>
      </w:pPr>
      <w:rPr/>
    </w:lvl>
    <w:lvl w:ilvl="6">
      <w:start w:val="1"/>
      <w:numFmt w:val="none"/>
      <w:suff w:val="nothing"/>
      <w:lvlText w:val=""/>
      <w:lvlJc w:val="left"/>
      <w:pPr>
        <w:ind w:left="0" w:hanging="0"/>
      </w:pPr>
      <w:rPr/>
    </w:lvl>
    <w:lvl w:ilvl="7">
      <w:start w:val="1"/>
      <w:numFmt w:val="none"/>
      <w:suff w:val="nothing"/>
      <w:lvlText w:val=""/>
      <w:lvlJc w:val="left"/>
      <w:pPr>
        <w:ind w:left="0" w:hanging="0"/>
      </w:pPr>
      <w:rPr/>
    </w:lvl>
    <w:lvl w:ilvl="8">
      <w:start w:val="1"/>
      <w:numFmt w:val="none"/>
      <w:suff w:val="nothing"/>
      <w:lvlText w:val=""/>
      <w:lvlJc w:val="left"/>
      <w:pPr>
        <w:ind w:left="0" w:hanging="0"/>
      </w:pPr>
      <w:rPr/>
    </w:lvl>
  </w:abstractNum>
  <w:abstractNum w:abstractNumId="2">
    <w:multiLevelType w:val="hybridMultilevel"/>
    <w:name w:val="WW8Num25"/>
    <w:lvl w:ilvl="0">
      <w:numFmt w:val="bullet"/>
      <w:suff w:val="tab"/>
      <w:lvlText w:val="l"/>
      <w:lvlJc w:val="left"/>
      <w:pPr>
        <w:ind w:left="0" w:hanging="0"/>
      </w:pPr>
      <w:rPr>
        <w:rPr>
          <w:rFonts w:ascii="Wingdings" w:hAnsi="Wingdings" w:eastAsia="Wingdings" w:cs="Wingdings"/>
        </w:rPr>
      </w:rPr>
    </w:lvl>
    <w:lvl w:ilvl="1">
      <w:start w:val="1"/>
      <w:numFmt w:val="decimal"/>
      <w:suff w:val="tab"/>
      <w:lvlText w:val="%2."/>
      <w:lvlJc w:val="left"/>
      <w:pPr>
        <w:ind w:left="0" w:hanging="0"/>
      </w:pPr>
      <w:rPr/>
    </w:lvl>
    <w:lvl w:ilvl="2">
      <w:start w:val="1"/>
      <w:numFmt w:val="decimal"/>
      <w:suff w:val="tab"/>
      <w:lvlText w:val="%3."/>
      <w:lvlJc w:val="left"/>
      <w:pPr>
        <w:ind w:left="0" w:hanging="0"/>
      </w:pPr>
      <w:rPr/>
    </w:lvl>
    <w:lvl w:ilvl="3">
      <w:start w:val="1"/>
      <w:numFmt w:val="decimal"/>
      <w:suff w:val="tab"/>
      <w:lvlText w:val="%4."/>
      <w:lvlJc w:val="left"/>
      <w:pPr>
        <w:ind w:left="0" w:hanging="0"/>
      </w:pPr>
      <w:rPr/>
    </w:lvl>
    <w:lvl w:ilvl="4">
      <w:start w:val="1"/>
      <w:numFmt w:val="decimal"/>
      <w:suff w:val="tab"/>
      <w:lvlText w:val="%5."/>
      <w:lvlJc w:val="left"/>
      <w:pPr>
        <w:ind w:left="0" w:hanging="0"/>
      </w:pPr>
      <w:rPr/>
    </w:lvl>
    <w:lvl w:ilvl="5">
      <w:start w:val="1"/>
      <w:numFmt w:val="decimal"/>
      <w:suff w:val="tab"/>
      <w:lvlText w:val="%6."/>
      <w:lvlJc w:val="left"/>
      <w:pPr>
        <w:ind w:left="0" w:hanging="0"/>
      </w:pPr>
      <w:rPr/>
    </w:lvl>
    <w:lvl w:ilvl="6">
      <w:start w:val="1"/>
      <w:numFmt w:val="decimal"/>
      <w:suff w:val="tab"/>
      <w:lvlText w:val="%7."/>
      <w:lvlJc w:val="left"/>
      <w:pPr>
        <w:ind w:left="0" w:hanging="0"/>
      </w:pPr>
      <w:rPr/>
    </w:lvl>
    <w:lvl w:ilvl="7">
      <w:start w:val="1"/>
      <w:numFmt w:val="decimal"/>
      <w:suff w:val="tab"/>
      <w:lvlText w:val="%8."/>
      <w:lvlJc w:val="left"/>
      <w:pPr>
        <w:ind w:left="0" w:hanging="0"/>
      </w:pPr>
      <w:rPr/>
    </w:lvl>
    <w:lvl w:ilvl="8">
      <w:start w:val="1"/>
      <w:numFmt w:val="decimal"/>
      <w:suff w:val="tab"/>
      <w:lvlText w:val="%9."/>
      <w:lvlJc w:val="left"/>
      <w:pPr>
        <w:ind w:left="0" w:hanging="0"/>
      </w:pPr>
      <w:rPr/>
    </w:lvl>
  </w:abstractNum>
  <w:abstractNum w:abstractNumId="3">
    <w:multiLevelType w:val="hybridMultilevel"/>
    <w:name w:val="WW8Num23"/>
    <w:lvl w:ilvl="0">
      <w:numFmt w:val="bullet"/>
      <w:suff w:val="tab"/>
      <w:lvlText w:val="l"/>
      <w:lvlJc w:val="left"/>
      <w:pPr>
        <w:ind w:left="0" w:hanging="0"/>
      </w:pPr>
      <w:rPr>
        <w:rPr>
          <w:rFonts w:ascii="Wingdings" w:hAnsi="Wingdings" w:eastAsia="Wingdings" w:cs="Wingdings"/>
        </w:rPr>
      </w:rPr>
    </w:lvl>
    <w:lvl w:ilvl="1">
      <w:start w:val="1"/>
      <w:numFmt w:val="decimal"/>
      <w:suff w:val="tab"/>
      <w:lvlText w:val="%2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2">
      <w:start w:val="1"/>
      <w:numFmt w:val="decimal"/>
      <w:suff w:val="tab"/>
      <w:lvlText w:val="%3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3">
      <w:start w:val="1"/>
      <w:numFmt w:val="decimal"/>
      <w:suff w:val="tab"/>
      <w:lvlText w:val="%4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4">
      <w:start w:val="1"/>
      <w:numFmt w:val="decimal"/>
      <w:suff w:val="tab"/>
      <w:lvlText w:val="%5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5">
      <w:start w:val="1"/>
      <w:numFmt w:val="decimal"/>
      <w:suff w:val="tab"/>
      <w:lvlText w:val="%6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6">
      <w:start w:val="1"/>
      <w:numFmt w:val="decimal"/>
      <w:suff w:val="tab"/>
      <w:lvlText w:val="%7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7">
      <w:start w:val="1"/>
      <w:numFmt w:val="decimal"/>
      <w:suff w:val="tab"/>
      <w:lvlText w:val="%8."/>
      <w:lvlJc w:val="left"/>
      <w:pPr>
        <w:ind w:left="0" w:hanging="0"/>
      </w:pPr>
      <w:rPr>
        <w:rPr>
          <w:rFonts w:ascii="OpenSymbol" w:hAnsi="OpenSymbol" w:cs="OpenSymbol"/>
        </w:rPr>
      </w:rPr>
    </w:lvl>
    <w:lvl w:ilvl="8">
      <w:start w:val="1"/>
      <w:numFmt w:val="decimal"/>
      <w:suff w:val="tab"/>
      <w:lvlText w:val="%9."/>
      <w:lvlJc w:val="left"/>
      <w:pPr>
        <w:ind w:left="0" w:hanging="0"/>
      </w:pPr>
      <w:rPr>
        <w:rPr>
          <w:rFonts w:ascii="OpenSymbol" w:hAnsi="OpenSymbol" w:cs="OpenSymbol"/>
        </w:rPr>
      </w:rPr>
    </w:lvl>
  </w:abstractNum>
  <w:abstractNum w:abstractNumId="4">
    <w:multiLevelType w:val="singleLevel"/>
    <w:name w:val="Bullet 4"/>
    <w:lvl w:ilvl="0">
      <w:numFmt w:val="bullet"/>
      <w:suff w:val="tab"/>
      <w:lvlText w:val=""/>
      <w:lvlJc w:val="left"/>
      <w:pPr>
        <w:ind w:left="0" w:hanging="0"/>
      </w:pPr>
      <w:rPr>
        <w:rPr>
          <w:rFonts w:ascii="Wingdings" w:hAnsi="Wingdings" w:eastAsia="Wingdings" w:cs="Wingdings"/>
        </w:rPr>
      </w:rPr>
    </w:lvl>
  </w:abstractNum>
  <w:abstractNum w:abstractNumId="5">
    <w:multiLevelType w:val="singleLevel"/>
    <w:name w:val="Bullet 5"/>
    <w:lvl w:ilvl="0">
      <w:numFmt w:val="bullet"/>
      <w:suff w:val="tab"/>
      <w:lvlText w:val=""/>
      <w:lvlJc w:val="left"/>
      <w:pPr>
        <w:ind w:left="0" w:hanging="0"/>
      </w:pPr>
      <w:rPr>
        <w:rPr>
          <w:rFonts w:ascii="Wingdings" w:hAnsi="Wingdings" w:eastAsia="Wingdings" w:cs="Wingdings"/>
        </w:rPr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1"/>
  <w:doNotShadeFormData w:val="1"/>
  <w:captions>
    <w:caption w:name="Таблица" w:pos="below" w:numFmt="decimal"/>
    <w:caption w:name="Рисунок" w:pos="below" w:numFmt="decimal"/>
    <w:caption w:name="Изображение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decimal"/>
    <w:numStart w:val="1"/>
    <w:numRestart w:val="continuous"/>
  </w:endnotePr>
  <w:compat>
    <w:doNotUseHTMLParagraphAutoSpacing w:val="1"/>
  </w:compat>
  <w:compatSetting w:name="compatibilityMode" w:uri="http://schemas.microsoft.com/office/word" w:val="15"/>
  <w:shapeDefaults>
    <o:shapedefaults v:ext="edit" spidmax="2049"/>
    <o:shapelayout v:ext="edit">
      <o:rules v:ext="edit"/>
    </o:shapelayout>
  </w:shapeDefaults>
  <w:tmPrefOne w:val="16"/>
  <w:tmPrefTwo w:val="1"/>
  <w:tmFmtPref w:val="54538251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4"/>
    <w:tmReviewMarkIns w:val="4"/>
    <w:tmReviewColorIns w:val="-1"/>
    <w:tmReviewMarkDel w:val="6"/>
    <w:tmReviewColorDel w:val="-1"/>
    <w:tmReviewMarkFmt w:val="1"/>
    <w:tmReviewColorFmt w:val="-1"/>
    <w:tmReviewMarkLn w:val="1"/>
    <w:tmReviewColorLn w:val="0"/>
    <w:tmReviewToolTip w:val="1"/>
  </w:tmReviewPr>
  <w:tmLastPos>
    <w:tmLastPosPage w:val="15"/>
    <w:tmLastPosSelect w:val="0"/>
    <w:tmLastPosFrameIdx w:val="0"/>
    <w:tmLastPosCaret>
      <w:tmLastPosPgfIdx w:val="170"/>
      <w:tmLastPosIdx w:val="52"/>
    </w:tmLastPosCaret>
    <w:tmLastPosAnchor>
      <w:tmLastPosPgfIdx w:val="0"/>
      <w:tmLastPosIdx w:val="0"/>
    </w:tmLastPosAnchor>
    <w:tmLastPosTblRect w:left="0" w:top="0" w:right="0" w:bottom="0"/>
  </w:tmLastPos>
  <w:tmAppRevision w:date="1752562684" w:val="933" w:fileVer="341" w:fileVerOS="4"/>
  <w:guidesAndGrid showGuides="1" lockGuides="0" snapToGuides="1" snapToPageMargins="0" snapToOtherObjects="1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hAnsi="Times New Roman" w:eastAsia="Times New Roman" w:cs="Times New Roman"/>
        <w:kern w:val="1"/>
        <w:sz w:val="28"/>
        <w:szCs w:val="28"/>
        <w:lang w:val="ru-ru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</w:latentStyles>
  <w:style w:type="paragraph" w:styleId="para0" w:default="1">
    <w:name w:val="Normal"/>
    <w:qFormat/>
    <w:pPr>
      <w:ind w:firstLine="709"/>
      <w:spacing w:line="360" w:lineRule="auto"/>
      <w:jc w:val="both"/>
      <w:widowControl w:val="0"/>
    </w:pPr>
    <w:key w:val="1072"/>
  </w:style>
  <w:style w:type="paragraph" w:styleId="para1">
    <w:name w:val="heading 1"/>
    <w:qFormat/>
    <w:basedOn w:val="para0"/>
    <w:next w:val="para0"/>
    <w:pPr>
      <w:spacing w:before="240" w:after="60"/>
      <w:keepNext/>
      <w:outlineLvl w:val="0"/>
      <w:keepLines/>
    </w:pPr>
    <w:rPr>
      <w:rFonts w:ascii="Arial" w:hAnsi="Arial" w:cs="Arial"/>
      <w:b/>
      <w:bCs/>
      <w:sz w:val="36"/>
      <w:szCs w:val="36"/>
    </w:rPr>
    <w:key w:val="1073"/>
  </w:style>
  <w:style w:type="paragraph" w:styleId="para2">
    <w:name w:val="heading 2"/>
    <w:qFormat/>
    <w:basedOn w:val="para1"/>
    <w:next w:val="para0"/>
    <w:pPr>
      <w:outlineLvl w:val="1"/>
    </w:pPr>
    <w:rPr>
      <w:sz w:val="32"/>
      <w:szCs w:val="32"/>
    </w:rPr>
    <w:key w:val="1074"/>
  </w:style>
  <w:style w:type="paragraph" w:styleId="para3">
    <w:name w:val="heading 3"/>
    <w:qFormat/>
    <w:basedOn w:val="para2"/>
    <w:next w:val="para0"/>
    <w:pPr>
      <w:outlineLvl w:val="2"/>
    </w:pPr>
    <w:rPr>
      <w:sz w:val="28"/>
      <w:szCs w:val="28"/>
    </w:rPr>
    <w:key w:val="1075"/>
  </w:style>
  <w:style w:type="paragraph" w:styleId="para4" w:customStyle="1">
    <w:name w:val="Обычный1"/>
    <w:qFormat/>
    <w:pPr>
      <w:widowControl w:val="0"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szCs w:val="24"/>
    </w:rPr>
  </w:style>
  <w:style w:type="paragraph" w:styleId="para5">
    <w:name w:val="caption"/>
    <w:qFormat/>
    <w:basedOn w:val="para0"/>
    <w:next w:val="para0"/>
    <w:rPr>
      <w:b/>
      <w:bCs/>
      <w:sz w:val="20"/>
      <w:szCs w:val="20"/>
    </w:rPr>
  </w:style>
  <w:style w:type="paragraph" w:styleId="para6">
    <w:name w:val="Body Text"/>
    <w:qFormat/>
    <w:basedOn w:val="para0"/>
    <w:pPr>
      <w:ind w:firstLine="850"/>
      <w:suppressAutoHyphens/>
      <w:hyphenationLines w:val="0"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eastAsia="Lucida Sans Unicode" w:cs="Tahoma"/>
      <w:szCs w:val="24"/>
    </w:rPr>
  </w:style>
  <w:style w:type="paragraph" w:styleId="para7" w:customStyle="1">
    <w:name w:val="Указатель7"/>
    <w:qFormat/>
    <w:basedOn w:val="para0"/>
    <w:pPr>
      <w:ind w:firstLine="0"/>
      <w:spacing w:line="240" w:lineRule="auto"/>
      <w:jc w:val="left"/>
      <w:suppressAutoHyphens/>
      <w:hyphenationLines w:val="0"/>
      <w:suppressLineNumbers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ascii="Arial" w:hAnsi="Arial" w:eastAsia="Lucida Sans Unicode" w:cs="Arial"/>
      <w:szCs w:val="24"/>
    </w:rPr>
  </w:style>
  <w:style w:type="paragraph" w:styleId="para8" w:customStyle="1">
    <w:name w:val="align_left"/>
    <w:qFormat/>
    <w:basedOn w:val="para0"/>
    <w:pPr>
      <w:ind w:firstLine="0"/>
      <w:spacing w:before="100" w:after="28" w:line="240" w:lineRule="auto"/>
      <w:jc w:val="left"/>
      <w:suppressAutoHyphens/>
      <w:hyphenationLines w:val="0"/>
      <w:widowControl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sz w:val="24"/>
      <w:szCs w:val="24"/>
    </w:rPr>
  </w:style>
  <w:style w:type="paragraph" w:styleId="para9" w:customStyle="1">
    <w:name w:val="Основной текст 21"/>
    <w:qFormat/>
    <w:basedOn w:val="para0"/>
    <w:pPr>
      <w:ind w:firstLine="0"/>
      <w:spacing w:line="240" w:lineRule="auto"/>
      <w:suppressAutoHyphens/>
      <w:hyphenationLines w:val="0"/>
      <w:tabs>
        <w:tab w:val="left" w:pos="720" w:leader="none"/>
        <w:tab w:val="left" w:pos="864" w:leader="none"/>
        <w:tab w:val="left" w:pos="2880" w:leader="none"/>
        <w:tab w:val="left" w:pos="8640" w:leader="none"/>
      </w:tabs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eastAsia="Lucida Sans Unicode" w:cs="Tahoma"/>
      <w:b/>
      <w:sz w:val="26"/>
      <w:szCs w:val="24"/>
    </w:rPr>
  </w:style>
  <w:style w:type="paragraph" w:styleId="para10">
    <w:name w:val="toc 1"/>
    <w:qFormat/>
    <w:basedOn w:val="para0"/>
    <w:next w:val="para0"/>
  </w:style>
  <w:style w:type="paragraph" w:styleId="para11">
    <w:name w:val="toc 2"/>
    <w:qFormat/>
    <w:basedOn w:val="para0"/>
    <w:next w:val="para0"/>
    <w:pPr>
      <w:ind w:left="283"/>
    </w:pPr>
  </w:style>
  <w:style w:type="paragraph" w:styleId="para12">
    <w:name w:val="Footer"/>
    <w:qFormat/>
    <w:basedOn w:val="para0"/>
    <w:pPr>
      <w:spacing w:line="240" w:lineRule="auto"/>
      <w:tabs>
        <w:tab w:val="center" w:pos="4819" w:leader="none"/>
        <w:tab w:val="right" w:pos="9639" w:leader="none"/>
      </w:tabs>
    </w:pPr>
  </w:style>
  <w:style w:type="character" w:styleId="char0" w:default="1">
    <w:name w:val="Default Paragraph Font"/>
  </w:style>
  <w:style w:type="character" w:styleId="char1" w:customStyle="1">
    <w:name w:val="WW8Num1z0"/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hAnsi="Times New Roman" w:eastAsia="Times New Roman" w:cs="Times New Roman"/>
        <w:kern w:val="1"/>
        <w:sz w:val="28"/>
        <w:szCs w:val="28"/>
        <w:lang w:val="ru-ru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</w:latentStyles>
  <w:style w:type="paragraph" w:styleId="para0" w:default="1">
    <w:name w:val="Normal"/>
    <w:qFormat/>
    <w:pPr>
      <w:ind w:firstLine="709"/>
      <w:spacing w:line="360" w:lineRule="auto"/>
      <w:jc w:val="both"/>
      <w:widowControl w:val="0"/>
    </w:pPr>
    <w:key w:val="1072"/>
  </w:style>
  <w:style w:type="paragraph" w:styleId="para1">
    <w:name w:val="heading 1"/>
    <w:qFormat/>
    <w:basedOn w:val="para0"/>
    <w:next w:val="para0"/>
    <w:pPr>
      <w:spacing w:before="240" w:after="60"/>
      <w:keepNext/>
      <w:outlineLvl w:val="0"/>
      <w:keepLines/>
    </w:pPr>
    <w:rPr>
      <w:rFonts w:ascii="Arial" w:hAnsi="Arial" w:cs="Arial"/>
      <w:b/>
      <w:bCs/>
      <w:sz w:val="36"/>
      <w:szCs w:val="36"/>
    </w:rPr>
    <w:key w:val="1073"/>
  </w:style>
  <w:style w:type="paragraph" w:styleId="para2">
    <w:name w:val="heading 2"/>
    <w:qFormat/>
    <w:basedOn w:val="para1"/>
    <w:next w:val="para0"/>
    <w:pPr>
      <w:outlineLvl w:val="1"/>
    </w:pPr>
    <w:rPr>
      <w:sz w:val="32"/>
      <w:szCs w:val="32"/>
    </w:rPr>
    <w:key w:val="1074"/>
  </w:style>
  <w:style w:type="paragraph" w:styleId="para3">
    <w:name w:val="heading 3"/>
    <w:qFormat/>
    <w:basedOn w:val="para2"/>
    <w:next w:val="para0"/>
    <w:pPr>
      <w:outlineLvl w:val="2"/>
    </w:pPr>
    <w:rPr>
      <w:sz w:val="28"/>
      <w:szCs w:val="28"/>
    </w:rPr>
    <w:key w:val="1075"/>
  </w:style>
  <w:style w:type="paragraph" w:styleId="para4" w:customStyle="1">
    <w:name w:val="Обычный1"/>
    <w:qFormat/>
    <w:pPr>
      <w:widowControl w:val="0"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szCs w:val="24"/>
    </w:rPr>
  </w:style>
  <w:style w:type="paragraph" w:styleId="para5">
    <w:name w:val="caption"/>
    <w:qFormat/>
    <w:basedOn w:val="para0"/>
    <w:next w:val="para0"/>
    <w:rPr>
      <w:b/>
      <w:bCs/>
      <w:sz w:val="20"/>
      <w:szCs w:val="20"/>
    </w:rPr>
  </w:style>
  <w:style w:type="paragraph" w:styleId="para6">
    <w:name w:val="Body Text"/>
    <w:qFormat/>
    <w:basedOn w:val="para0"/>
    <w:pPr>
      <w:ind w:firstLine="850"/>
      <w:suppressAutoHyphens/>
      <w:hyphenationLines w:val="0"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eastAsia="Lucida Sans Unicode" w:cs="Tahoma"/>
      <w:szCs w:val="24"/>
    </w:rPr>
  </w:style>
  <w:style w:type="paragraph" w:styleId="para7" w:customStyle="1">
    <w:name w:val="Указатель7"/>
    <w:qFormat/>
    <w:basedOn w:val="para0"/>
    <w:pPr>
      <w:ind w:firstLine="0"/>
      <w:spacing w:line="240" w:lineRule="auto"/>
      <w:jc w:val="left"/>
      <w:suppressAutoHyphens/>
      <w:hyphenationLines w:val="0"/>
      <w:suppressLineNumbers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ascii="Arial" w:hAnsi="Arial" w:eastAsia="Lucida Sans Unicode" w:cs="Arial"/>
      <w:szCs w:val="24"/>
    </w:rPr>
  </w:style>
  <w:style w:type="paragraph" w:styleId="para8" w:customStyle="1">
    <w:name w:val="align_left"/>
    <w:qFormat/>
    <w:basedOn w:val="para0"/>
    <w:pPr>
      <w:ind w:firstLine="0"/>
      <w:spacing w:before="100" w:after="28" w:line="240" w:lineRule="auto"/>
      <w:jc w:val="left"/>
      <w:suppressAutoHyphens/>
      <w:hyphenationLines w:val="0"/>
      <w:widowControl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sz w:val="24"/>
      <w:szCs w:val="24"/>
    </w:rPr>
  </w:style>
  <w:style w:type="paragraph" w:styleId="para9" w:customStyle="1">
    <w:name w:val="Основной текст 21"/>
    <w:qFormat/>
    <w:basedOn w:val="para0"/>
    <w:pPr>
      <w:ind w:firstLine="0"/>
      <w:spacing w:line="240" w:lineRule="auto"/>
      <w:suppressAutoHyphens/>
      <w:hyphenationLines w:val="0"/>
      <w:tabs>
        <w:tab w:val="left" w:pos="720" w:leader="none"/>
        <w:tab w:val="left" w:pos="864" w:leader="none"/>
        <w:tab w:val="left" w:pos="2880" w:leader="none"/>
        <w:tab w:val="left" w:pos="8640" w:leader="none"/>
      </w:tabs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eastAsia="Lucida Sans Unicode" w:cs="Tahoma"/>
      <w:b/>
      <w:sz w:val="26"/>
      <w:szCs w:val="24"/>
    </w:rPr>
  </w:style>
  <w:style w:type="paragraph" w:styleId="para10">
    <w:name w:val="toc 1"/>
    <w:qFormat/>
    <w:basedOn w:val="para0"/>
    <w:next w:val="para0"/>
  </w:style>
  <w:style w:type="paragraph" w:styleId="para11">
    <w:name w:val="toc 2"/>
    <w:qFormat/>
    <w:basedOn w:val="para0"/>
    <w:next w:val="para0"/>
    <w:pPr>
      <w:ind w:left="283"/>
    </w:pPr>
  </w:style>
  <w:style w:type="paragraph" w:styleId="para12">
    <w:name w:val="Footer"/>
    <w:qFormat/>
    <w:basedOn w:val="para0"/>
    <w:pPr>
      <w:spacing w:line="240" w:lineRule="auto"/>
      <w:tabs>
        <w:tab w:val="center" w:pos="4819" w:leader="none"/>
        <w:tab w:val="right" w:pos="9639" w:leader="none"/>
      </w:tabs>
    </w:pPr>
  </w:style>
  <w:style w:type="character" w:styleId="char0" w:default="1">
    <w:name w:val="Default Paragraph Font"/>
  </w:style>
  <w:style w:type="character" w:styleId="char1" w:customStyle="1">
    <w:name w:val="WW8Num1z0"/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microsoft.com/office/2007/relationships/stylesWithEffects" Target="stylesWithEffect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wmf"/><Relationship Id="rId13" Type="http://schemas.openxmlformats.org/officeDocument/2006/relationships/oleObject" Target="embeddings/oleObject1.bin"/><Relationship Id="rId14" Type="http://schemas.openxmlformats.org/officeDocument/2006/relationships/image" Target="media/image6.wmf"/><Relationship Id="rId15" Type="http://schemas.openxmlformats.org/officeDocument/2006/relationships/oleObject" Target="embeddings/oleObject2.bin"/><Relationship Id="rId16" Type="http://schemas.openxmlformats.org/officeDocument/2006/relationships/image" Target="media/image7.png"/><Relationship Id="rId17" Type="http://schemas.openxmlformats.org/officeDocument/2006/relationships/image" Target="media/image8.wmf"/><Relationship Id="rId18" Type="http://schemas.openxmlformats.org/officeDocument/2006/relationships/oleObject" Target="embeddings/oleObject3.bin"/><Relationship Id="rId19" Type="http://schemas.openxmlformats.org/officeDocument/2006/relationships/image" Target="media/image9.wmf"/><Relationship Id="rId20" Type="http://schemas.openxmlformats.org/officeDocument/2006/relationships/oleObject" Target="embeddings/oleObject4.bin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png"/><Relationship Id="rId28" Type="http://schemas.openxmlformats.org/officeDocument/2006/relationships/image" Target="media/image17.png"/><Relationship Id="rId29" Type="http://schemas.openxmlformats.org/officeDocument/2006/relationships/image" Target="media/image18.png"/><Relationship Id="rId30" Type="http://schemas.openxmlformats.org/officeDocument/2006/relationships/image" Target="media/image19.png"/><Relationship Id="rId31" Type="http://schemas.openxmlformats.org/officeDocument/2006/relationships/image" Target="media/image20.png"/><Relationship Id="rId32" Type="http://schemas.openxmlformats.org/officeDocument/2006/relationships/image" Target="media/image21.png"/><Relationship Id="rId33" Type="http://schemas.openxmlformats.org/officeDocument/2006/relationships/image" Target="media/image22.png"/><Relationship Id="rId34" Type="http://schemas.openxmlformats.org/officeDocument/2006/relationships/image" Target="media/image23.png"/><Relationship Id="rId35" Type="http://schemas.openxmlformats.org/officeDocument/2006/relationships/image" Target="media/image24.jpeg"/><Relationship Id="rId36" Type="http://schemas.openxmlformats.org/officeDocument/2006/relationships/image" Target="media/image25.jpeg"/><Relationship Id="rId37" Type="http://schemas.openxmlformats.org/officeDocument/2006/relationships/image" Target="media/image26.jpeg"/><Relationship Id="rId38" Type="http://schemas.openxmlformats.org/officeDocument/2006/relationships/image" Target="media/image27.png"/><Relationship Id="rId39" Type="http://schemas.openxmlformats.org/officeDocument/2006/relationships/image" Target="media/image28.png"/><Relationship Id="rId40" Type="http://schemas.openxmlformats.org/officeDocument/2006/relationships/image" Target="media/image29.png"/><Relationship Id="rId41" Type="http://schemas.openxmlformats.org/officeDocument/2006/relationships/image" Target="media/image30.png"/><Relationship Id="rId42" Type="http://schemas.openxmlformats.org/officeDocument/2006/relationships/image" Target="media/image31.jpeg"/><Relationship Id="rId43" Type="http://schemas.openxmlformats.org/officeDocument/2006/relationships/image" Target="media/image32.png"/><Relationship Id="rId44" Type="http://schemas.openxmlformats.org/officeDocument/2006/relationships/image" Target="media/image33.png"/><Relationship Id="rId45" Type="http://schemas.openxmlformats.org/officeDocument/2006/relationships/image" Target="media/image34.png"/><Relationship Id="rId46" Type="http://schemas.openxmlformats.org/officeDocument/2006/relationships/image" Target="media/image35.png"/><Relationship Id="rId47" Type="http://schemas.openxmlformats.org/officeDocument/2006/relationships/image" Target="media/image36.png"/><Relationship Id="rId48" Type="http://schemas.openxmlformats.org/officeDocument/2006/relationships/image" Target="media/image37.png"/><Relationship Id="rId49" Type="http://schemas.openxmlformats.org/officeDocument/2006/relationships/image" Target="media/image38.png"/><Relationship Id="rId50" Type="http://schemas.openxmlformats.org/officeDocument/2006/relationships/image" Target="media/image39.png"/><Relationship Id="rId51" Type="http://schemas.openxmlformats.org/officeDocument/2006/relationships/image" Target="media/image40.png"/><Relationship Id="rId52" Type="http://schemas.openxmlformats.org/officeDocument/2006/relationships/image" Target="media/image41.png"/><Relationship Id="rId53" Type="http://schemas.openxmlformats.org/officeDocument/2006/relationships/image" Target="media/image42.png"/><Relationship Id="rId54" Type="http://schemas.openxmlformats.org/officeDocument/2006/relationships/image" Target="media/image43.png"/><Relationship Id="rId55" Type="http://schemas.openxmlformats.org/officeDocument/2006/relationships/image" Target="media/image44.png"/><Relationship Id="rId56" Type="http://schemas.openxmlformats.org/officeDocument/2006/relationships/image" Target="media/image45.png"/><Relationship Id="rId57" Type="http://schemas.openxmlformats.org/officeDocument/2006/relationships/image" Target="media/image46.png"/><Relationship Id="rId58" Type="http://schemas.openxmlformats.org/officeDocument/2006/relationships/image" Target="media/image47.png"/><Relationship Id="rId59" Type="http://schemas.openxmlformats.org/officeDocument/2006/relationships/image" Target="media/image48.png"/><Relationship Id="rId60" Type="http://schemas.openxmlformats.org/officeDocument/2006/relationships/image" Target="media/image49.png"/><Relationship Id="rId61" Type="http://schemas.openxmlformats.org/officeDocument/2006/relationships/image" Target="media/image50.png"/><Relationship Id="rId62" Type="http://schemas.openxmlformats.org/officeDocument/2006/relationships/image" Target="media/image51.png"/><Relationship Id="rId63" Type="http://schemas.openxmlformats.org/officeDocument/2006/relationships/image" Target="media/image52.png"/><Relationship Id="rId64" Type="http://schemas.openxmlformats.org/officeDocument/2006/relationships/image" Target="media/image53.png"/><Relationship Id="rId65" Type="http://schemas.openxmlformats.org/officeDocument/2006/relationships/image" Target="media/image54.png"/><Relationship Id="rId66" Type="http://schemas.openxmlformats.org/officeDocument/2006/relationships/image" Target="media/image55.png"/><Relationship Id="rId67" Type="http://schemas.openxmlformats.org/officeDocument/2006/relationships/image" Target="media/image56.png"/><Relationship Id="rId68" Type="http://schemas.openxmlformats.org/officeDocument/2006/relationships/image" Target="media/image57.png"/><Relationship Id="rId69" Type="http://schemas.openxmlformats.org/officeDocument/2006/relationships/image" Target="media/image58.png"/><Relationship Id="rId70" Type="http://schemas.openxmlformats.org/officeDocument/2006/relationships/image" Target="media/image59.png"/><Relationship Id="rId71" Type="http://schemas.openxmlformats.org/officeDocument/2006/relationships/image" Target="media/image60.jpeg"/><Relationship Id="rId72" Type="http://schemas.openxmlformats.org/officeDocument/2006/relationships/image" Target="media/image61.jpeg"/><Relationship Id="rId73" Type="http://schemas.openxmlformats.org/officeDocument/2006/relationships/image" Target="media/image62.jpeg"/><Relationship Id="rId74" Type="http://schemas.openxmlformats.org/officeDocument/2006/relationships/image" Target="media/image63.jpeg"/><Relationship Id="rId75" Type="http://schemas.openxmlformats.org/officeDocument/2006/relationships/image" Target="media/image64.png"/><Relationship Id="rId76" Type="http://schemas.openxmlformats.org/officeDocument/2006/relationships/image" Target="media/image65.png"/><Relationship Id="rId77" Type="http://schemas.openxmlformats.org/officeDocument/2006/relationships/image" Target="media/image66.png"/><Relationship Id="rId78" Type="http://schemas.openxmlformats.org/officeDocument/2006/relationships/image" Target="media/image67.png"/><Relationship Id="rId79" Type="http://schemas.openxmlformats.org/officeDocument/2006/relationships/image" Target="media/image68.png"/><Relationship Id="rId80" Type="http://schemas.openxmlformats.org/officeDocument/2006/relationships/image" Target="media/image69.jpeg"/><Relationship Id="rId81" Type="http://schemas.openxmlformats.org/officeDocument/2006/relationships/image" Target="media/image70.jpeg"/><Relationship Id="rId8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Times New Roman"/>
        <a:cs typeface="Arial"/>
      </a:majorFont>
      <a:minorFont>
        <a:latin typeface="Times New Roman"/>
        <a:ea typeface="Times New Roman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2018 rev.933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Шумакова</cp:lastModifiedBy>
  <cp:revision>4</cp:revision>
  <dcterms:created xsi:type="dcterms:W3CDTF">2025-04-30T08:35:14Z</dcterms:created>
  <dcterms:modified xsi:type="dcterms:W3CDTF">2025-07-15T06:58:04Z</dcterms:modified>
</cp:coreProperties>
</file>